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F4107" w14:textId="77777777" w:rsidR="00AC73ED" w:rsidRDefault="009725C2">
      <w:pPr>
        <w:rPr>
          <w:sz w:val="28"/>
          <w:szCs w:val="28"/>
        </w:rPr>
      </w:pPr>
      <w:bookmarkStart w:id="0" w:name="_GoBack"/>
      <w:bookmarkEnd w:id="0"/>
      <w:r>
        <w:rPr>
          <w:sz w:val="28"/>
          <w:szCs w:val="28"/>
        </w:rPr>
        <w:t>TMF remissvar avseende Boverkets remissförslag BBR (B) 2021</w:t>
      </w:r>
    </w:p>
    <w:p w14:paraId="7B4E912A" w14:textId="77777777" w:rsidR="00AC73ED" w:rsidRDefault="00AC73ED">
      <w:pPr>
        <w:rPr>
          <w:sz w:val="28"/>
          <w:szCs w:val="28"/>
        </w:rPr>
      </w:pPr>
    </w:p>
    <w:tbl>
      <w:tblPr>
        <w:tblpPr w:leftFromText="141" w:rightFromText="141" w:vertAnchor="text" w:horzAnchor="margin" w:tblpY="2"/>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121"/>
        <w:gridCol w:w="2825"/>
        <w:gridCol w:w="3785"/>
        <w:gridCol w:w="4168"/>
      </w:tblGrid>
      <w:tr w:rsidR="00E14EA7" w:rsidRPr="003B1555" w14:paraId="4C8D66BD" w14:textId="77777777" w:rsidTr="00006B6D">
        <w:trPr>
          <w:tblHeader/>
        </w:trPr>
        <w:tc>
          <w:tcPr>
            <w:tcW w:w="2093" w:type="dxa"/>
            <w:shd w:val="clear" w:color="auto" w:fill="auto"/>
            <w:tcMar>
              <w:top w:w="28" w:type="dxa"/>
              <w:left w:w="28" w:type="dxa"/>
              <w:bottom w:w="28" w:type="dxa"/>
              <w:right w:w="28" w:type="dxa"/>
            </w:tcMar>
          </w:tcPr>
          <w:p w14:paraId="1024007B" w14:textId="77777777" w:rsidR="00006B6D" w:rsidRDefault="003B1555" w:rsidP="00717634">
            <w:pPr>
              <w:tabs>
                <w:tab w:val="left" w:pos="5220"/>
              </w:tabs>
              <w:spacing w:after="120"/>
              <w:rPr>
                <w:rStyle w:val="Stark"/>
              </w:rPr>
            </w:pPr>
            <w:r w:rsidRPr="003B1555">
              <w:rPr>
                <w:rStyle w:val="Stark"/>
              </w:rPr>
              <w:t>Författning</w:t>
            </w:r>
            <w:r w:rsidR="00AB17BB">
              <w:rPr>
                <w:rStyle w:val="Stark"/>
              </w:rPr>
              <w:t xml:space="preserve"> –</w:t>
            </w:r>
          </w:p>
          <w:p w14:paraId="50332ADA" w14:textId="77777777" w:rsidR="003B1555" w:rsidRPr="00AB17BB" w:rsidRDefault="003B1555" w:rsidP="00EB1742">
            <w:pPr>
              <w:tabs>
                <w:tab w:val="left" w:pos="5220"/>
              </w:tabs>
              <w:rPr>
                <w:rStyle w:val="Stark"/>
                <w:sz w:val="22"/>
                <w:szCs w:val="22"/>
              </w:rPr>
            </w:pPr>
            <w:r w:rsidRPr="00AB17BB">
              <w:rPr>
                <w:rStyle w:val="Stark"/>
                <w:sz w:val="22"/>
                <w:szCs w:val="22"/>
              </w:rPr>
              <w:t xml:space="preserve">BBR </w:t>
            </w:r>
            <w:r w:rsidR="00EB1742">
              <w:rPr>
                <w:rStyle w:val="Stark"/>
                <w:sz w:val="22"/>
                <w:szCs w:val="22"/>
              </w:rPr>
              <w:t>(A)</w:t>
            </w:r>
            <w:r w:rsidR="00E67184">
              <w:rPr>
                <w:rStyle w:val="Stark"/>
                <w:sz w:val="22"/>
                <w:szCs w:val="22"/>
              </w:rPr>
              <w:t>, BBR </w:t>
            </w:r>
            <w:r w:rsidR="00EB1742">
              <w:rPr>
                <w:rStyle w:val="Stark"/>
                <w:sz w:val="22"/>
                <w:szCs w:val="22"/>
              </w:rPr>
              <w:t xml:space="preserve">(B) eller </w:t>
            </w:r>
            <w:r w:rsidR="00E67184">
              <w:rPr>
                <w:rStyle w:val="Stark"/>
                <w:sz w:val="22"/>
                <w:szCs w:val="22"/>
              </w:rPr>
              <w:t>BEN</w:t>
            </w:r>
          </w:p>
        </w:tc>
        <w:tc>
          <w:tcPr>
            <w:tcW w:w="2121" w:type="dxa"/>
          </w:tcPr>
          <w:p w14:paraId="55FFC190" w14:textId="77777777" w:rsidR="003B1555" w:rsidRPr="003B1555" w:rsidRDefault="003B1555" w:rsidP="003B1555">
            <w:pPr>
              <w:tabs>
                <w:tab w:val="left" w:pos="5220"/>
              </w:tabs>
              <w:jc w:val="center"/>
              <w:rPr>
                <w:rStyle w:val="Stark"/>
              </w:rPr>
            </w:pPr>
            <w:r w:rsidRPr="003B1555">
              <w:rPr>
                <w:rStyle w:val="Stark"/>
              </w:rPr>
              <w:t>Paragraf/avsnitt</w:t>
            </w:r>
          </w:p>
          <w:p w14:paraId="4FB19F62" w14:textId="77777777" w:rsidR="00E14EA7" w:rsidRPr="003B1555" w:rsidRDefault="00E14EA7" w:rsidP="003B1555">
            <w:pPr>
              <w:tabs>
                <w:tab w:val="left" w:pos="5220"/>
              </w:tabs>
              <w:jc w:val="center"/>
              <w:rPr>
                <w:rStyle w:val="Stark"/>
              </w:rPr>
            </w:pPr>
          </w:p>
        </w:tc>
        <w:tc>
          <w:tcPr>
            <w:tcW w:w="2825" w:type="dxa"/>
          </w:tcPr>
          <w:p w14:paraId="6C3C45EB" w14:textId="77777777" w:rsidR="00E14EA7" w:rsidRPr="003B1555" w:rsidRDefault="00E14EA7" w:rsidP="0085524C">
            <w:pPr>
              <w:tabs>
                <w:tab w:val="left" w:pos="5220"/>
              </w:tabs>
              <w:rPr>
                <w:rStyle w:val="Stark"/>
              </w:rPr>
            </w:pPr>
            <w:r w:rsidRPr="003B1555">
              <w:rPr>
                <w:rStyle w:val="Stark"/>
              </w:rPr>
              <w:t>Konsekvensutredning</w:t>
            </w:r>
          </w:p>
          <w:p w14:paraId="5F5347F9" w14:textId="77777777" w:rsidR="00E14EA7" w:rsidRPr="003B1555" w:rsidRDefault="00E14EA7" w:rsidP="000F351C">
            <w:pPr>
              <w:tabs>
                <w:tab w:val="left" w:pos="5220"/>
              </w:tabs>
              <w:rPr>
                <w:rStyle w:val="Stark"/>
              </w:rPr>
            </w:pPr>
            <w:r w:rsidRPr="003B1555">
              <w:rPr>
                <w:rStyle w:val="Stark"/>
              </w:rPr>
              <w:t>(sida)</w:t>
            </w:r>
          </w:p>
        </w:tc>
        <w:tc>
          <w:tcPr>
            <w:tcW w:w="3785" w:type="dxa"/>
            <w:shd w:val="clear" w:color="auto" w:fill="auto"/>
          </w:tcPr>
          <w:p w14:paraId="18FD0230" w14:textId="77777777" w:rsidR="00E14EA7" w:rsidRPr="003B1555" w:rsidRDefault="00E14EA7" w:rsidP="0085524C">
            <w:pPr>
              <w:tabs>
                <w:tab w:val="left" w:pos="5220"/>
              </w:tabs>
              <w:rPr>
                <w:rStyle w:val="Stark"/>
              </w:rPr>
            </w:pPr>
            <w:r w:rsidRPr="003B1555">
              <w:rPr>
                <w:rStyle w:val="Stark"/>
              </w:rPr>
              <w:t>Kommentar/Motivering</w:t>
            </w:r>
          </w:p>
        </w:tc>
        <w:tc>
          <w:tcPr>
            <w:tcW w:w="4168" w:type="dxa"/>
            <w:shd w:val="clear" w:color="auto" w:fill="auto"/>
          </w:tcPr>
          <w:p w14:paraId="3D49A00A" w14:textId="77777777" w:rsidR="00E14EA7" w:rsidRPr="003B1555" w:rsidRDefault="00E14EA7" w:rsidP="00C97406">
            <w:pPr>
              <w:tabs>
                <w:tab w:val="left" w:pos="5220"/>
              </w:tabs>
              <w:rPr>
                <w:rStyle w:val="Stark"/>
              </w:rPr>
            </w:pPr>
            <w:r w:rsidRPr="003B1555">
              <w:rPr>
                <w:rStyle w:val="Stark"/>
              </w:rPr>
              <w:t>Ert förslag till ändring</w:t>
            </w:r>
          </w:p>
        </w:tc>
      </w:tr>
      <w:tr w:rsidR="00855A9F" w14:paraId="4A2DCA9A" w14:textId="77777777" w:rsidTr="003B1555">
        <w:tc>
          <w:tcPr>
            <w:tcW w:w="2093" w:type="dxa"/>
            <w:shd w:val="clear" w:color="auto" w:fill="auto"/>
          </w:tcPr>
          <w:p w14:paraId="67AB48F5" w14:textId="77777777" w:rsidR="00855A9F" w:rsidRDefault="00855A9F" w:rsidP="0085524C">
            <w:pPr>
              <w:tabs>
                <w:tab w:val="left" w:pos="5220"/>
              </w:tabs>
              <w:rPr>
                <w:sz w:val="22"/>
                <w:szCs w:val="22"/>
              </w:rPr>
            </w:pPr>
            <w:r>
              <w:rPr>
                <w:sz w:val="22"/>
                <w:szCs w:val="22"/>
              </w:rPr>
              <w:t>BBR B</w:t>
            </w:r>
          </w:p>
        </w:tc>
        <w:tc>
          <w:tcPr>
            <w:tcW w:w="2121" w:type="dxa"/>
          </w:tcPr>
          <w:tbl>
            <w:tblPr>
              <w:tblW w:w="0" w:type="auto"/>
              <w:tblBorders>
                <w:top w:val="nil"/>
                <w:left w:val="nil"/>
                <w:bottom w:val="nil"/>
                <w:right w:val="nil"/>
              </w:tblBorders>
              <w:tblLook w:val="0000" w:firstRow="0" w:lastRow="0" w:firstColumn="0" w:lastColumn="0" w:noHBand="0" w:noVBand="0"/>
            </w:tblPr>
            <w:tblGrid>
              <w:gridCol w:w="1212"/>
            </w:tblGrid>
            <w:tr w:rsidR="00855A9F" w:rsidRPr="00855A9F" w14:paraId="6E0BD045" w14:textId="77777777">
              <w:trPr>
                <w:trHeight w:val="100"/>
              </w:trPr>
              <w:tc>
                <w:tcPr>
                  <w:tcW w:w="0" w:type="auto"/>
                </w:tcPr>
                <w:p w14:paraId="311AD937" w14:textId="77777777" w:rsidR="00855A9F" w:rsidRPr="00855A9F" w:rsidRDefault="00855A9F" w:rsidP="006D6521">
                  <w:pPr>
                    <w:framePr w:hSpace="141" w:wrap="around" w:vAnchor="text" w:hAnchor="margin" w:y="2"/>
                    <w:autoSpaceDE w:val="0"/>
                    <w:autoSpaceDN w:val="0"/>
                    <w:adjustRightInd w:val="0"/>
                    <w:rPr>
                      <w:color w:val="000000"/>
                      <w:sz w:val="22"/>
                      <w:szCs w:val="22"/>
                    </w:rPr>
                  </w:pPr>
                  <w:r w:rsidRPr="00855A9F">
                    <w:rPr>
                      <w:color w:val="000000"/>
                      <w:sz w:val="22"/>
                      <w:szCs w:val="22"/>
                    </w:rPr>
                    <w:t xml:space="preserve">Tabell 9:2a </w:t>
                  </w:r>
                </w:p>
              </w:tc>
            </w:tr>
          </w:tbl>
          <w:p w14:paraId="5641D73C" w14:textId="77777777" w:rsidR="00855A9F" w:rsidRDefault="00855A9F" w:rsidP="0085524C">
            <w:pPr>
              <w:tabs>
                <w:tab w:val="left" w:pos="5220"/>
              </w:tabs>
              <w:rPr>
                <w:sz w:val="22"/>
                <w:szCs w:val="22"/>
              </w:rPr>
            </w:pPr>
          </w:p>
        </w:tc>
        <w:tc>
          <w:tcPr>
            <w:tcW w:w="2825" w:type="dxa"/>
          </w:tcPr>
          <w:p w14:paraId="36EAEF7D" w14:textId="77777777" w:rsidR="00855A9F" w:rsidRPr="00717634" w:rsidRDefault="00855A9F" w:rsidP="0085524C">
            <w:pPr>
              <w:tabs>
                <w:tab w:val="left" w:pos="5220"/>
              </w:tabs>
              <w:rPr>
                <w:sz w:val="22"/>
                <w:szCs w:val="22"/>
              </w:rPr>
            </w:pPr>
            <w:r w:rsidRPr="00855A9F">
              <w:rPr>
                <w:sz w:val="22"/>
                <w:szCs w:val="22"/>
              </w:rPr>
              <w:t>BBR (B), sid 18-21</w:t>
            </w:r>
          </w:p>
        </w:tc>
        <w:tc>
          <w:tcPr>
            <w:tcW w:w="378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569"/>
            </w:tblGrid>
            <w:tr w:rsidR="00855A9F" w:rsidRPr="00855A9F" w14:paraId="087F0673" w14:textId="77777777">
              <w:trPr>
                <w:trHeight w:val="859"/>
              </w:trPr>
              <w:tc>
                <w:tcPr>
                  <w:tcW w:w="0" w:type="auto"/>
                </w:tcPr>
                <w:p w14:paraId="6DF26E51" w14:textId="77777777" w:rsidR="00855A9F" w:rsidRPr="00855A9F" w:rsidRDefault="00855A9F" w:rsidP="006D6521">
                  <w:pPr>
                    <w:framePr w:hSpace="141" w:wrap="around" w:vAnchor="text" w:hAnchor="margin" w:y="2"/>
                    <w:autoSpaceDE w:val="0"/>
                    <w:autoSpaceDN w:val="0"/>
                    <w:adjustRightInd w:val="0"/>
                    <w:rPr>
                      <w:color w:val="000000"/>
                      <w:sz w:val="22"/>
                      <w:szCs w:val="22"/>
                    </w:rPr>
                  </w:pPr>
                  <w:r w:rsidRPr="00855A9F">
                    <w:rPr>
                      <w:color w:val="000000"/>
                      <w:sz w:val="22"/>
                      <w:szCs w:val="22"/>
                    </w:rPr>
                    <w:t>Boverkets föreslagna areakorrektion för ”små småhus” är inte fysikalisk och gör tabell 9:2a onödigt komplicerad. Även ett småhus på 130 m</w:t>
                  </w:r>
                  <w:r w:rsidRPr="00BD4349">
                    <w:rPr>
                      <w:color w:val="000000"/>
                      <w:sz w:val="22"/>
                      <w:szCs w:val="22"/>
                      <w:vertAlign w:val="superscript"/>
                    </w:rPr>
                    <w:t xml:space="preserve">2 </w:t>
                  </w:r>
                  <w:r w:rsidRPr="00855A9F">
                    <w:rPr>
                      <w:color w:val="000000"/>
                      <w:sz w:val="22"/>
                      <w:szCs w:val="22"/>
                    </w:rPr>
                    <w:t>är relativt litet och har med samma byggnadssystem svårare att klara föreslagen kravnivå än ett småhus på 200 m</w:t>
                  </w:r>
                  <w:r w:rsidRPr="00BD4349">
                    <w:rPr>
                      <w:color w:val="000000"/>
                      <w:sz w:val="22"/>
                      <w:szCs w:val="22"/>
                      <w:vertAlign w:val="superscript"/>
                    </w:rPr>
                    <w:t>2</w:t>
                  </w:r>
                  <w:r w:rsidRPr="00855A9F">
                    <w:rPr>
                      <w:color w:val="000000"/>
                      <w:sz w:val="22"/>
                      <w:szCs w:val="22"/>
                    </w:rPr>
                    <w:t xml:space="preserve">. </w:t>
                  </w:r>
                </w:p>
              </w:tc>
            </w:tr>
          </w:tbl>
          <w:p w14:paraId="0C272859" w14:textId="77777777" w:rsidR="00855A9F" w:rsidRDefault="00855A9F" w:rsidP="0085524C">
            <w:pPr>
              <w:tabs>
                <w:tab w:val="left" w:pos="5220"/>
              </w:tabs>
              <w:rPr>
                <w:sz w:val="22"/>
                <w:szCs w:val="22"/>
              </w:rPr>
            </w:pPr>
          </w:p>
        </w:tc>
        <w:tc>
          <w:tcPr>
            <w:tcW w:w="4168" w:type="dxa"/>
            <w:shd w:val="clear" w:color="auto" w:fill="auto"/>
          </w:tcPr>
          <w:p w14:paraId="55438525" w14:textId="77777777" w:rsidR="00855A9F" w:rsidRPr="00855A9F" w:rsidRDefault="00855A9F" w:rsidP="00855A9F">
            <w:pPr>
              <w:tabs>
                <w:tab w:val="left" w:pos="5220"/>
              </w:tabs>
              <w:rPr>
                <w:sz w:val="22"/>
                <w:szCs w:val="22"/>
              </w:rPr>
            </w:pPr>
            <w:r w:rsidRPr="00855A9F">
              <w:rPr>
                <w:sz w:val="22"/>
                <w:szCs w:val="22"/>
              </w:rPr>
              <w:t>Inför en areakorrektion i formeln för beräkning av PET enligt följande:</w:t>
            </w:r>
          </w:p>
          <w:p w14:paraId="1A57B9BB" w14:textId="77777777" w:rsidR="00855A9F" w:rsidRPr="00855A9F" w:rsidRDefault="00855A9F" w:rsidP="00855A9F">
            <w:pPr>
              <w:tabs>
                <w:tab w:val="left" w:pos="5220"/>
              </w:tabs>
              <w:rPr>
                <w:sz w:val="22"/>
                <w:szCs w:val="22"/>
              </w:rPr>
            </w:pPr>
            <w:r w:rsidRPr="00855A9F">
              <w:rPr>
                <w:rFonts w:ascii="Cambria Math" w:hAnsi="Cambria Math" w:cs="Cambria Math"/>
                <w:sz w:val="22"/>
                <w:szCs w:val="22"/>
              </w:rPr>
              <w:t>𝑃𝐸𝑇</w:t>
            </w:r>
            <w:r w:rsidRPr="00855A9F">
              <w:rPr>
                <w:sz w:val="22"/>
                <w:szCs w:val="22"/>
              </w:rPr>
              <w:t xml:space="preserve"> = [(</w:t>
            </w:r>
            <w:r w:rsidRPr="00855A9F">
              <w:rPr>
                <w:rFonts w:ascii="Cambria Math" w:hAnsi="Cambria Math" w:cs="Cambria Math"/>
                <w:sz w:val="22"/>
                <w:szCs w:val="22"/>
              </w:rPr>
              <w:t>𝐸</w:t>
            </w:r>
            <w:r w:rsidRPr="00855A9F">
              <w:rPr>
                <w:sz w:val="22"/>
                <w:szCs w:val="22"/>
                <w:vertAlign w:val="subscript"/>
              </w:rPr>
              <w:t>uppv,el</w:t>
            </w:r>
            <w:r w:rsidRPr="00855A9F">
              <w:rPr>
                <w:sz w:val="22"/>
                <w:szCs w:val="22"/>
              </w:rPr>
              <w:t xml:space="preserve"> /</w:t>
            </w:r>
            <w:r w:rsidRPr="00855A9F">
              <w:rPr>
                <w:rFonts w:ascii="Cambria Math" w:hAnsi="Cambria Math" w:cs="Cambria Math"/>
                <w:sz w:val="22"/>
                <w:szCs w:val="22"/>
              </w:rPr>
              <w:t>𝐹</w:t>
            </w:r>
            <w:r w:rsidRPr="00855A9F">
              <w:rPr>
                <w:rFonts w:ascii="Cambria Math" w:hAnsi="Cambria Math" w:cs="Cambria Math"/>
                <w:sz w:val="22"/>
                <w:szCs w:val="22"/>
                <w:vertAlign w:val="subscript"/>
              </w:rPr>
              <w:t>𝑔𝑒𝑜</w:t>
            </w:r>
            <w:r w:rsidRPr="00855A9F">
              <w:rPr>
                <w:sz w:val="22"/>
                <w:szCs w:val="22"/>
              </w:rPr>
              <w:t xml:space="preserve">+ </w:t>
            </w:r>
            <w:r w:rsidRPr="00855A9F">
              <w:rPr>
                <w:rFonts w:ascii="Cambria Math" w:hAnsi="Cambria Math" w:cs="Cambria Math"/>
                <w:sz w:val="22"/>
                <w:szCs w:val="22"/>
              </w:rPr>
              <w:t>𝐸</w:t>
            </w:r>
            <w:r w:rsidRPr="00855A9F">
              <w:rPr>
                <w:sz w:val="22"/>
                <w:szCs w:val="22"/>
                <w:vertAlign w:val="subscript"/>
              </w:rPr>
              <w:t>kyl,el</w:t>
            </w:r>
            <w:r w:rsidRPr="00855A9F">
              <w:rPr>
                <w:sz w:val="22"/>
                <w:szCs w:val="22"/>
              </w:rPr>
              <w:t xml:space="preserve">+ </w:t>
            </w:r>
            <w:r w:rsidRPr="00855A9F">
              <w:rPr>
                <w:rFonts w:ascii="Cambria Math" w:hAnsi="Cambria Math" w:cs="Cambria Math"/>
                <w:sz w:val="22"/>
                <w:szCs w:val="22"/>
              </w:rPr>
              <w:t>𝐸</w:t>
            </w:r>
            <w:r w:rsidRPr="00855A9F">
              <w:rPr>
                <w:sz w:val="22"/>
                <w:szCs w:val="22"/>
                <w:vertAlign w:val="subscript"/>
              </w:rPr>
              <w:t>tvv</w:t>
            </w:r>
            <w:r w:rsidRPr="00855A9F">
              <w:rPr>
                <w:sz w:val="22"/>
                <w:szCs w:val="22"/>
              </w:rPr>
              <w:t>,</w:t>
            </w:r>
            <w:r w:rsidRPr="00855A9F">
              <w:rPr>
                <w:sz w:val="22"/>
                <w:szCs w:val="22"/>
                <w:vertAlign w:val="subscript"/>
              </w:rPr>
              <w:t>el</w:t>
            </w:r>
            <w:r w:rsidRPr="00855A9F">
              <w:rPr>
                <w:sz w:val="22"/>
                <w:szCs w:val="22"/>
              </w:rPr>
              <w:t xml:space="preserve"> + </w:t>
            </w:r>
            <w:r w:rsidRPr="00855A9F">
              <w:rPr>
                <w:rFonts w:ascii="Cambria Math" w:hAnsi="Cambria Math" w:cs="Cambria Math"/>
                <w:sz w:val="22"/>
                <w:szCs w:val="22"/>
              </w:rPr>
              <w:t>𝐸</w:t>
            </w:r>
            <w:r w:rsidRPr="00A66192">
              <w:rPr>
                <w:sz w:val="22"/>
                <w:szCs w:val="22"/>
                <w:vertAlign w:val="subscript"/>
              </w:rPr>
              <w:t>f,el</w:t>
            </w:r>
            <w:r w:rsidRPr="00855A9F">
              <w:rPr>
                <w:sz w:val="22"/>
                <w:szCs w:val="22"/>
              </w:rPr>
              <w:t>)</w:t>
            </w:r>
            <w:r w:rsidRPr="00855A9F">
              <w:rPr>
                <w:rFonts w:ascii="Cambria Math" w:hAnsi="Cambria Math" w:cs="Cambria Math"/>
                <w:sz w:val="22"/>
                <w:szCs w:val="22"/>
              </w:rPr>
              <w:t>∗𝑃𝐸</w:t>
            </w:r>
            <w:r w:rsidRPr="00A66192">
              <w:rPr>
                <w:sz w:val="22"/>
                <w:szCs w:val="22"/>
                <w:vertAlign w:val="subscript"/>
              </w:rPr>
              <w:t>el</w:t>
            </w:r>
            <w:r w:rsidRPr="00855A9F">
              <w:rPr>
                <w:sz w:val="22"/>
                <w:szCs w:val="22"/>
              </w:rPr>
              <w:t>+(</w:t>
            </w:r>
            <w:r w:rsidRPr="00855A9F">
              <w:rPr>
                <w:rFonts w:ascii="Cambria Math" w:hAnsi="Cambria Math" w:cs="Cambria Math"/>
                <w:sz w:val="22"/>
                <w:szCs w:val="22"/>
              </w:rPr>
              <w:t>𝐸</w:t>
            </w:r>
            <w:r w:rsidRPr="00A66192">
              <w:rPr>
                <w:sz w:val="22"/>
                <w:szCs w:val="22"/>
                <w:vertAlign w:val="subscript"/>
              </w:rPr>
              <w:t>uppv</w:t>
            </w:r>
            <w:r w:rsidRPr="00855A9F">
              <w:rPr>
                <w:sz w:val="22"/>
                <w:szCs w:val="22"/>
              </w:rPr>
              <w:t xml:space="preserve"> /</w:t>
            </w:r>
            <w:r w:rsidRPr="00855A9F">
              <w:rPr>
                <w:rFonts w:ascii="Cambria Math" w:hAnsi="Cambria Math" w:cs="Cambria Math"/>
                <w:sz w:val="22"/>
                <w:szCs w:val="22"/>
              </w:rPr>
              <w:t>𝐹</w:t>
            </w:r>
            <w:r w:rsidRPr="00A66192">
              <w:rPr>
                <w:rFonts w:ascii="Cambria Math" w:hAnsi="Cambria Math" w:cs="Cambria Math"/>
                <w:sz w:val="22"/>
                <w:szCs w:val="22"/>
                <w:vertAlign w:val="subscript"/>
              </w:rPr>
              <w:t>𝑔𝑒𝑜</w:t>
            </w:r>
            <w:r w:rsidRPr="00855A9F">
              <w:rPr>
                <w:sz w:val="22"/>
                <w:szCs w:val="22"/>
              </w:rPr>
              <w:t xml:space="preserve">+ </w:t>
            </w:r>
            <w:r w:rsidRPr="00855A9F">
              <w:rPr>
                <w:rFonts w:ascii="Cambria Math" w:hAnsi="Cambria Math" w:cs="Cambria Math"/>
                <w:sz w:val="22"/>
                <w:szCs w:val="22"/>
              </w:rPr>
              <w:t>𝐸</w:t>
            </w:r>
            <w:r w:rsidRPr="00A66192">
              <w:rPr>
                <w:sz w:val="22"/>
                <w:szCs w:val="22"/>
                <w:vertAlign w:val="subscript"/>
              </w:rPr>
              <w:t>kyl</w:t>
            </w:r>
            <w:r w:rsidRPr="00855A9F">
              <w:rPr>
                <w:sz w:val="22"/>
                <w:szCs w:val="22"/>
              </w:rPr>
              <w:t xml:space="preserve">+ </w:t>
            </w:r>
            <w:r w:rsidRPr="00855A9F">
              <w:rPr>
                <w:rFonts w:ascii="Cambria Math" w:hAnsi="Cambria Math" w:cs="Cambria Math"/>
                <w:sz w:val="22"/>
                <w:szCs w:val="22"/>
              </w:rPr>
              <w:t>𝐸</w:t>
            </w:r>
            <w:r w:rsidRPr="00A66192">
              <w:rPr>
                <w:sz w:val="22"/>
                <w:szCs w:val="22"/>
                <w:vertAlign w:val="subscript"/>
              </w:rPr>
              <w:t>tvv</w:t>
            </w:r>
            <w:r w:rsidRPr="00855A9F">
              <w:rPr>
                <w:sz w:val="22"/>
                <w:szCs w:val="22"/>
              </w:rPr>
              <w:t>)</w:t>
            </w:r>
            <w:r w:rsidRPr="00855A9F">
              <w:rPr>
                <w:rFonts w:ascii="Cambria Math" w:hAnsi="Cambria Math" w:cs="Cambria Math"/>
                <w:sz w:val="22"/>
                <w:szCs w:val="22"/>
              </w:rPr>
              <w:t>∗𝑃𝐸</w:t>
            </w:r>
            <w:r w:rsidRPr="00A66192">
              <w:rPr>
                <w:sz w:val="22"/>
                <w:szCs w:val="22"/>
                <w:vertAlign w:val="subscript"/>
              </w:rPr>
              <w:t xml:space="preserve">övr </w:t>
            </w:r>
            <w:r w:rsidRPr="00855A9F">
              <w:rPr>
                <w:sz w:val="22"/>
                <w:szCs w:val="22"/>
              </w:rPr>
              <w:t xml:space="preserve">] / </w:t>
            </w:r>
            <w:r w:rsidRPr="00855A9F">
              <w:rPr>
                <w:rFonts w:ascii="Cambria Math" w:hAnsi="Cambria Math" w:cs="Cambria Math"/>
                <w:sz w:val="22"/>
                <w:szCs w:val="22"/>
              </w:rPr>
              <w:t>𝐴</w:t>
            </w:r>
            <w:r w:rsidRPr="00A66192">
              <w:rPr>
                <w:sz w:val="22"/>
                <w:szCs w:val="22"/>
                <w:vertAlign w:val="subscript"/>
              </w:rPr>
              <w:t>temp</w:t>
            </w:r>
            <w:r w:rsidRPr="00855A9F">
              <w:rPr>
                <w:sz w:val="22"/>
                <w:szCs w:val="22"/>
              </w:rPr>
              <w:t xml:space="preserve"> </w:t>
            </w:r>
            <w:r w:rsidRPr="00855A9F">
              <w:rPr>
                <w:rFonts w:ascii="Cambria Math" w:hAnsi="Cambria Math" w:cs="Cambria Math"/>
                <w:sz w:val="22"/>
                <w:szCs w:val="22"/>
              </w:rPr>
              <w:t>∗</w:t>
            </w:r>
            <w:r w:rsidRPr="00855A9F">
              <w:rPr>
                <w:sz w:val="22"/>
                <w:szCs w:val="22"/>
              </w:rPr>
              <w:t xml:space="preserve"> </w:t>
            </w:r>
            <w:r w:rsidRPr="00855A9F">
              <w:rPr>
                <w:rFonts w:ascii="Cambria Math" w:hAnsi="Cambria Math" w:cs="Cambria Math"/>
                <w:sz w:val="22"/>
                <w:szCs w:val="22"/>
              </w:rPr>
              <w:t>𝐹</w:t>
            </w:r>
            <w:r w:rsidRPr="00A66192">
              <w:rPr>
                <w:sz w:val="22"/>
                <w:szCs w:val="22"/>
                <w:vertAlign w:val="subscript"/>
              </w:rPr>
              <w:t>area</w:t>
            </w:r>
          </w:p>
          <w:p w14:paraId="327CF3E1" w14:textId="77777777" w:rsidR="00855A9F" w:rsidRPr="00A66192" w:rsidRDefault="00855A9F" w:rsidP="00855A9F">
            <w:pPr>
              <w:tabs>
                <w:tab w:val="left" w:pos="5220"/>
              </w:tabs>
              <w:rPr>
                <w:sz w:val="22"/>
                <w:szCs w:val="22"/>
              </w:rPr>
            </w:pPr>
            <w:r w:rsidRPr="00A66192">
              <w:rPr>
                <w:sz w:val="22"/>
                <w:szCs w:val="22"/>
              </w:rPr>
              <w:t>där F</w:t>
            </w:r>
            <w:r w:rsidRPr="00A66192">
              <w:rPr>
                <w:sz w:val="22"/>
                <w:szCs w:val="22"/>
                <w:vertAlign w:val="subscript"/>
              </w:rPr>
              <w:t>area</w:t>
            </w:r>
            <w:r w:rsidRPr="00A66192">
              <w:rPr>
                <w:sz w:val="22"/>
                <w:szCs w:val="22"/>
              </w:rPr>
              <w:t xml:space="preserve"> = (200/A</w:t>
            </w:r>
            <w:r w:rsidRPr="00A66192">
              <w:rPr>
                <w:sz w:val="22"/>
                <w:szCs w:val="22"/>
                <w:vertAlign w:val="subscript"/>
              </w:rPr>
              <w:t>temp</w:t>
            </w:r>
            <w:r w:rsidRPr="00A66192">
              <w:rPr>
                <w:sz w:val="22"/>
                <w:szCs w:val="22"/>
              </w:rPr>
              <w:t>)</w:t>
            </w:r>
            <w:r w:rsidRPr="00A66192">
              <w:rPr>
                <w:sz w:val="22"/>
                <w:szCs w:val="22"/>
                <w:vertAlign w:val="superscript"/>
              </w:rPr>
              <w:t>0,25</w:t>
            </w:r>
            <w:r w:rsidRPr="00A66192">
              <w:rPr>
                <w:sz w:val="22"/>
                <w:szCs w:val="22"/>
              </w:rPr>
              <w:t xml:space="preserve"> när A</w:t>
            </w:r>
            <w:r w:rsidRPr="00A66192">
              <w:rPr>
                <w:sz w:val="22"/>
                <w:szCs w:val="22"/>
                <w:vertAlign w:val="subscript"/>
              </w:rPr>
              <w:t>temp</w:t>
            </w:r>
            <w:r w:rsidRPr="00A66192">
              <w:rPr>
                <w:sz w:val="22"/>
                <w:szCs w:val="22"/>
              </w:rPr>
              <w:t xml:space="preserve"> &lt; 200</w:t>
            </w:r>
          </w:p>
          <w:p w14:paraId="7EA4DA5F" w14:textId="77777777" w:rsidR="00855A9F" w:rsidRPr="00855A9F" w:rsidRDefault="00855A9F" w:rsidP="00855A9F">
            <w:pPr>
              <w:tabs>
                <w:tab w:val="left" w:pos="5220"/>
              </w:tabs>
              <w:rPr>
                <w:sz w:val="22"/>
                <w:szCs w:val="22"/>
              </w:rPr>
            </w:pPr>
            <w:r w:rsidRPr="00855A9F">
              <w:rPr>
                <w:sz w:val="22"/>
                <w:szCs w:val="22"/>
              </w:rPr>
              <w:t>och F</w:t>
            </w:r>
            <w:r w:rsidRPr="00A66192">
              <w:rPr>
                <w:sz w:val="22"/>
                <w:szCs w:val="22"/>
                <w:vertAlign w:val="subscript"/>
              </w:rPr>
              <w:t>area</w:t>
            </w:r>
            <w:r w:rsidRPr="00855A9F">
              <w:rPr>
                <w:sz w:val="22"/>
                <w:szCs w:val="22"/>
              </w:rPr>
              <w:t xml:space="preserve"> = 1 när A</w:t>
            </w:r>
            <w:r w:rsidRPr="00A66192">
              <w:rPr>
                <w:sz w:val="22"/>
                <w:szCs w:val="22"/>
                <w:vertAlign w:val="subscript"/>
              </w:rPr>
              <w:t>temp</w:t>
            </w:r>
            <w:r w:rsidRPr="00855A9F">
              <w:rPr>
                <w:sz w:val="22"/>
                <w:szCs w:val="22"/>
              </w:rPr>
              <w:t xml:space="preserve"> ≥ 200</w:t>
            </w:r>
          </w:p>
          <w:p w14:paraId="155A7456" w14:textId="77777777" w:rsidR="00855A9F" w:rsidRDefault="00855A9F" w:rsidP="00855A9F">
            <w:pPr>
              <w:tabs>
                <w:tab w:val="left" w:pos="5220"/>
              </w:tabs>
              <w:rPr>
                <w:sz w:val="22"/>
                <w:szCs w:val="22"/>
              </w:rPr>
            </w:pPr>
            <w:r w:rsidRPr="00855A9F">
              <w:rPr>
                <w:sz w:val="22"/>
                <w:szCs w:val="22"/>
              </w:rPr>
              <w:t>Ersätt de tre raderna med kravvärden för småhus med en enda rad och ett kravvärde.</w:t>
            </w:r>
          </w:p>
        </w:tc>
      </w:tr>
      <w:tr w:rsidR="00E14EA7" w14:paraId="094A7A33" w14:textId="77777777" w:rsidTr="003B1555">
        <w:tc>
          <w:tcPr>
            <w:tcW w:w="2093" w:type="dxa"/>
            <w:shd w:val="clear" w:color="auto" w:fill="auto"/>
          </w:tcPr>
          <w:p w14:paraId="59C25B19" w14:textId="77777777" w:rsidR="00E14EA7" w:rsidRPr="00717634" w:rsidRDefault="00036BE2" w:rsidP="0085524C">
            <w:pPr>
              <w:tabs>
                <w:tab w:val="left" w:pos="5220"/>
              </w:tabs>
              <w:rPr>
                <w:sz w:val="22"/>
                <w:szCs w:val="22"/>
              </w:rPr>
            </w:pPr>
            <w:r>
              <w:rPr>
                <w:sz w:val="22"/>
                <w:szCs w:val="22"/>
              </w:rPr>
              <w:t>BBR B</w:t>
            </w:r>
          </w:p>
        </w:tc>
        <w:tc>
          <w:tcPr>
            <w:tcW w:w="2121" w:type="dxa"/>
          </w:tcPr>
          <w:p w14:paraId="102DB02B" w14:textId="77777777" w:rsidR="00E14EA7" w:rsidRPr="00717634" w:rsidRDefault="00036BE2" w:rsidP="0085524C">
            <w:pPr>
              <w:tabs>
                <w:tab w:val="left" w:pos="5220"/>
              </w:tabs>
              <w:rPr>
                <w:sz w:val="22"/>
                <w:szCs w:val="22"/>
              </w:rPr>
            </w:pPr>
            <w:r>
              <w:rPr>
                <w:sz w:val="22"/>
                <w:szCs w:val="22"/>
              </w:rPr>
              <w:t>Tabell 9:2a &amp; 9:2b</w:t>
            </w:r>
          </w:p>
        </w:tc>
        <w:tc>
          <w:tcPr>
            <w:tcW w:w="2825" w:type="dxa"/>
          </w:tcPr>
          <w:p w14:paraId="43CC0C2E" w14:textId="77777777" w:rsidR="00E14EA7" w:rsidRPr="00717634" w:rsidRDefault="00A66192" w:rsidP="0085524C">
            <w:pPr>
              <w:tabs>
                <w:tab w:val="left" w:pos="5220"/>
              </w:tabs>
              <w:rPr>
                <w:sz w:val="22"/>
                <w:szCs w:val="22"/>
              </w:rPr>
            </w:pPr>
            <w:r w:rsidRPr="00A66192">
              <w:rPr>
                <w:sz w:val="22"/>
                <w:szCs w:val="22"/>
              </w:rPr>
              <w:t>BBR (B), sid 15-18, 32, 34</w:t>
            </w:r>
          </w:p>
        </w:tc>
        <w:tc>
          <w:tcPr>
            <w:tcW w:w="3785" w:type="dxa"/>
            <w:shd w:val="clear" w:color="auto" w:fill="auto"/>
          </w:tcPr>
          <w:p w14:paraId="05FC2126" w14:textId="77777777" w:rsidR="00E14EA7" w:rsidRPr="00717634" w:rsidRDefault="00A66192" w:rsidP="0085524C">
            <w:pPr>
              <w:tabs>
                <w:tab w:val="left" w:pos="5220"/>
              </w:tabs>
              <w:rPr>
                <w:sz w:val="22"/>
                <w:szCs w:val="22"/>
              </w:rPr>
            </w:pPr>
            <w:r w:rsidRPr="00A66192">
              <w:rPr>
                <w:sz w:val="22"/>
                <w:szCs w:val="22"/>
              </w:rPr>
              <w:t>Att i definitionen 2021 börja använda en primärenergifaktor för el på 2,5 när den Europeiska primärenergifaktorn för el vid den tidpunkten enligt Boverkets egen konsekvensutredning kommer att ligga på 2 eller lägre förefaller svårt att motivera. Det får också den märkliga effekten att högsta tillåtna PET-värde för flerbostadshus höjs 2021 jämfört med 2017. Föreslagna värden innebär också att det är mycket svårt att i norra Sverige klara kraven med endast en frånluftsvärmepump, vilket Boverket på flera ställen i konsekvensutredningen påpekar att det ska vara möjligt.</w:t>
            </w:r>
          </w:p>
        </w:tc>
        <w:tc>
          <w:tcPr>
            <w:tcW w:w="4168" w:type="dxa"/>
            <w:shd w:val="clear" w:color="auto" w:fill="auto"/>
          </w:tcPr>
          <w:p w14:paraId="34905984" w14:textId="77777777" w:rsidR="00A66192" w:rsidRPr="00A66192" w:rsidRDefault="00A66192" w:rsidP="00A66192">
            <w:pPr>
              <w:tabs>
                <w:tab w:val="left" w:pos="5220"/>
              </w:tabs>
              <w:rPr>
                <w:sz w:val="22"/>
                <w:szCs w:val="22"/>
              </w:rPr>
            </w:pPr>
            <w:r w:rsidRPr="00A66192">
              <w:rPr>
                <w:sz w:val="22"/>
                <w:szCs w:val="22"/>
              </w:rPr>
              <w:t>Ändra högsta tillåtna primärenergital i tabell 9:2a till 80 kWh/m</w:t>
            </w:r>
            <w:r w:rsidRPr="00A66192">
              <w:rPr>
                <w:sz w:val="22"/>
                <w:szCs w:val="22"/>
                <w:vertAlign w:val="superscript"/>
              </w:rPr>
              <w:t>2</w:t>
            </w:r>
            <w:r w:rsidRPr="00A66192">
              <w:rPr>
                <w:sz w:val="22"/>
                <w:szCs w:val="22"/>
              </w:rPr>
              <w:t xml:space="preserve"> A</w:t>
            </w:r>
            <w:r w:rsidRPr="00EB756F">
              <w:rPr>
                <w:sz w:val="22"/>
                <w:szCs w:val="22"/>
                <w:vertAlign w:val="subscript"/>
              </w:rPr>
              <w:t>temp</w:t>
            </w:r>
            <w:r w:rsidRPr="00A66192">
              <w:rPr>
                <w:sz w:val="22"/>
                <w:szCs w:val="22"/>
              </w:rPr>
              <w:t xml:space="preserve"> och år för både småhus och flerbostadshus, samt till 70 kWh/m</w:t>
            </w:r>
            <w:r w:rsidRPr="00EB756F">
              <w:rPr>
                <w:sz w:val="22"/>
                <w:szCs w:val="22"/>
                <w:vertAlign w:val="superscript"/>
              </w:rPr>
              <w:t>2</w:t>
            </w:r>
            <w:r w:rsidRPr="00A66192">
              <w:rPr>
                <w:sz w:val="22"/>
                <w:szCs w:val="22"/>
              </w:rPr>
              <w:t xml:space="preserve"> A</w:t>
            </w:r>
            <w:r w:rsidRPr="00EB756F">
              <w:rPr>
                <w:sz w:val="22"/>
                <w:szCs w:val="22"/>
                <w:vertAlign w:val="subscript"/>
              </w:rPr>
              <w:t>temp</w:t>
            </w:r>
            <w:r w:rsidRPr="00A66192">
              <w:rPr>
                <w:sz w:val="22"/>
                <w:szCs w:val="22"/>
              </w:rPr>
              <w:t xml:space="preserve"> och år för lokaler. Ändra primärenergifaktorn i tabell 9:2b för EL (PE</w:t>
            </w:r>
            <w:r w:rsidRPr="00EB756F">
              <w:rPr>
                <w:sz w:val="22"/>
                <w:szCs w:val="22"/>
                <w:vertAlign w:val="subscript"/>
              </w:rPr>
              <w:t>el</w:t>
            </w:r>
            <w:r w:rsidRPr="00A66192">
              <w:rPr>
                <w:sz w:val="22"/>
                <w:szCs w:val="22"/>
              </w:rPr>
              <w:t>) till 2,0.</w:t>
            </w:r>
          </w:p>
          <w:p w14:paraId="20C6E4F6" w14:textId="77777777" w:rsidR="00E14EA7" w:rsidRPr="00717634" w:rsidRDefault="00A66192" w:rsidP="00A66192">
            <w:pPr>
              <w:tabs>
                <w:tab w:val="left" w:pos="5220"/>
              </w:tabs>
              <w:rPr>
                <w:sz w:val="22"/>
                <w:szCs w:val="22"/>
              </w:rPr>
            </w:pPr>
            <w:r w:rsidRPr="00A66192">
              <w:rPr>
                <w:sz w:val="22"/>
                <w:szCs w:val="22"/>
              </w:rPr>
              <w:t>Värdet 2,0 för el kan 2021 motiveras med att vi övergår till en Europeisk elmix.</w:t>
            </w:r>
          </w:p>
        </w:tc>
      </w:tr>
      <w:tr w:rsidR="00EB756F" w14:paraId="10584D5D" w14:textId="77777777" w:rsidTr="003B1555">
        <w:tc>
          <w:tcPr>
            <w:tcW w:w="2093" w:type="dxa"/>
            <w:shd w:val="clear" w:color="auto" w:fill="auto"/>
          </w:tcPr>
          <w:p w14:paraId="093EBF49" w14:textId="77777777" w:rsidR="00EB756F" w:rsidRDefault="00EB756F" w:rsidP="0085524C">
            <w:pPr>
              <w:tabs>
                <w:tab w:val="left" w:pos="5220"/>
              </w:tabs>
              <w:rPr>
                <w:sz w:val="22"/>
                <w:szCs w:val="22"/>
              </w:rPr>
            </w:pPr>
            <w:r w:rsidRPr="00EB756F">
              <w:rPr>
                <w:sz w:val="22"/>
                <w:szCs w:val="22"/>
              </w:rPr>
              <w:t>BBR (A+B)</w:t>
            </w:r>
          </w:p>
        </w:tc>
        <w:tc>
          <w:tcPr>
            <w:tcW w:w="2121" w:type="dxa"/>
          </w:tcPr>
          <w:p w14:paraId="473D154E" w14:textId="77777777" w:rsidR="00EB756F" w:rsidRDefault="00EB756F" w:rsidP="0085524C">
            <w:pPr>
              <w:tabs>
                <w:tab w:val="left" w:pos="5220"/>
              </w:tabs>
              <w:rPr>
                <w:sz w:val="22"/>
                <w:szCs w:val="22"/>
              </w:rPr>
            </w:pPr>
            <w:r w:rsidRPr="00EB756F">
              <w:rPr>
                <w:sz w:val="22"/>
                <w:szCs w:val="22"/>
              </w:rPr>
              <w:t>Tabell 9:2c</w:t>
            </w:r>
          </w:p>
        </w:tc>
        <w:tc>
          <w:tcPr>
            <w:tcW w:w="2825" w:type="dxa"/>
          </w:tcPr>
          <w:p w14:paraId="0D673D9C" w14:textId="77777777" w:rsidR="00EB756F" w:rsidRPr="00A66192" w:rsidRDefault="00EB756F" w:rsidP="0085524C">
            <w:pPr>
              <w:tabs>
                <w:tab w:val="left" w:pos="5220"/>
              </w:tabs>
              <w:rPr>
                <w:sz w:val="22"/>
                <w:szCs w:val="22"/>
              </w:rPr>
            </w:pPr>
            <w:r w:rsidRPr="00EB756F">
              <w:rPr>
                <w:sz w:val="22"/>
                <w:szCs w:val="22"/>
              </w:rPr>
              <w:t>BBR (A), sid 19-22</w:t>
            </w:r>
          </w:p>
        </w:tc>
        <w:tc>
          <w:tcPr>
            <w:tcW w:w="3785" w:type="dxa"/>
            <w:shd w:val="clear" w:color="auto" w:fill="auto"/>
          </w:tcPr>
          <w:p w14:paraId="4CB34F34" w14:textId="77777777" w:rsidR="00EB756F" w:rsidRPr="00A66192" w:rsidRDefault="00EB756F" w:rsidP="0085524C">
            <w:pPr>
              <w:tabs>
                <w:tab w:val="left" w:pos="5220"/>
              </w:tabs>
              <w:rPr>
                <w:sz w:val="22"/>
                <w:szCs w:val="22"/>
              </w:rPr>
            </w:pPr>
            <w:r w:rsidRPr="00EB756F">
              <w:rPr>
                <w:sz w:val="22"/>
                <w:szCs w:val="22"/>
              </w:rPr>
              <w:t>De geografiska</w:t>
            </w:r>
            <w:r>
              <w:rPr>
                <w:sz w:val="22"/>
                <w:szCs w:val="22"/>
              </w:rPr>
              <w:t xml:space="preserve"> </w:t>
            </w:r>
            <w:r w:rsidRPr="00EB756F">
              <w:rPr>
                <w:sz w:val="22"/>
                <w:szCs w:val="22"/>
              </w:rPr>
              <w:t xml:space="preserve">justeringsfaktorerna är felaktiga. Detta är samma faktorer som </w:t>
            </w:r>
            <w:r w:rsidRPr="00EB756F">
              <w:rPr>
                <w:sz w:val="22"/>
                <w:szCs w:val="22"/>
              </w:rPr>
              <w:lastRenderedPageBreak/>
              <w:t>Boverket tog fram hösten 2013 och som då var avsedda att multipliceras med hela den specifika energianvändningen inklusive tappvarmvatten och fastighetsel. När faktorerna nu ska multipliceras med värmebehovet så måste de räknas om. Utan en ändring av de geografiska justeringsfaktorerna blir det mycket svårare att klara högsta tillåtna PET-värden i norra Sverige jämfört med i södra Sverige. Faktorn i Kiruna borde vara 1,9 och i Malmö 0,8.</w:t>
            </w:r>
          </w:p>
        </w:tc>
        <w:tc>
          <w:tcPr>
            <w:tcW w:w="4168" w:type="dxa"/>
            <w:shd w:val="clear" w:color="auto" w:fill="auto"/>
          </w:tcPr>
          <w:p w14:paraId="15F26D50" w14:textId="77777777" w:rsidR="00EB756F" w:rsidRPr="00A66192" w:rsidRDefault="00EB756F" w:rsidP="00A66192">
            <w:pPr>
              <w:tabs>
                <w:tab w:val="left" w:pos="5220"/>
              </w:tabs>
              <w:rPr>
                <w:sz w:val="22"/>
                <w:szCs w:val="22"/>
              </w:rPr>
            </w:pPr>
            <w:r w:rsidRPr="00EB756F">
              <w:rPr>
                <w:sz w:val="22"/>
                <w:szCs w:val="22"/>
              </w:rPr>
              <w:lastRenderedPageBreak/>
              <w:t xml:space="preserve">Räkna fram nya faktorer som är baserade bara på värmebehovet. För att få en bra </w:t>
            </w:r>
            <w:r w:rsidRPr="00EB756F">
              <w:rPr>
                <w:sz w:val="22"/>
                <w:szCs w:val="22"/>
              </w:rPr>
              <w:lastRenderedPageBreak/>
              <w:t>balans på de avrundade decimalerna för de tre storstadsområdena Stockholm, Göteborg och Malmö bör man då också välja Stockholm som referens och inte Eskilstuna. Man bör då få faktorerna 1,0 i Stockholm, 0,9 i Göteborg och 0,8 i Malmö.</w:t>
            </w:r>
          </w:p>
        </w:tc>
      </w:tr>
      <w:tr w:rsidR="00025AE9" w14:paraId="441BE94E" w14:textId="77777777" w:rsidTr="003B1555">
        <w:tc>
          <w:tcPr>
            <w:tcW w:w="2093" w:type="dxa"/>
            <w:shd w:val="clear" w:color="auto" w:fill="auto"/>
          </w:tcPr>
          <w:p w14:paraId="269C9E36" w14:textId="77777777" w:rsidR="00025AE9" w:rsidRPr="00EB756F" w:rsidRDefault="00025AE9" w:rsidP="0085524C">
            <w:pPr>
              <w:tabs>
                <w:tab w:val="left" w:pos="5220"/>
              </w:tabs>
              <w:rPr>
                <w:sz w:val="22"/>
                <w:szCs w:val="22"/>
              </w:rPr>
            </w:pPr>
          </w:p>
        </w:tc>
        <w:tc>
          <w:tcPr>
            <w:tcW w:w="2121" w:type="dxa"/>
          </w:tcPr>
          <w:p w14:paraId="616E44A6" w14:textId="77777777" w:rsidR="00025AE9" w:rsidRPr="00EB756F" w:rsidRDefault="00025AE9" w:rsidP="0085524C">
            <w:pPr>
              <w:tabs>
                <w:tab w:val="left" w:pos="5220"/>
              </w:tabs>
              <w:rPr>
                <w:sz w:val="22"/>
                <w:szCs w:val="22"/>
              </w:rPr>
            </w:pPr>
          </w:p>
        </w:tc>
        <w:tc>
          <w:tcPr>
            <w:tcW w:w="2825" w:type="dxa"/>
          </w:tcPr>
          <w:p w14:paraId="5E4C75A3" w14:textId="77777777" w:rsidR="00025AE9" w:rsidRPr="00EB756F" w:rsidRDefault="00025AE9" w:rsidP="0085524C">
            <w:pPr>
              <w:tabs>
                <w:tab w:val="left" w:pos="5220"/>
              </w:tabs>
              <w:rPr>
                <w:sz w:val="22"/>
                <w:szCs w:val="22"/>
              </w:rPr>
            </w:pPr>
          </w:p>
        </w:tc>
        <w:tc>
          <w:tcPr>
            <w:tcW w:w="3785" w:type="dxa"/>
            <w:shd w:val="clear" w:color="auto" w:fill="auto"/>
          </w:tcPr>
          <w:p w14:paraId="3649C62E" w14:textId="77777777" w:rsidR="00025AE9" w:rsidRPr="00EB756F" w:rsidRDefault="00025AE9" w:rsidP="0085524C">
            <w:pPr>
              <w:tabs>
                <w:tab w:val="left" w:pos="5220"/>
              </w:tabs>
              <w:rPr>
                <w:sz w:val="22"/>
                <w:szCs w:val="22"/>
              </w:rPr>
            </w:pPr>
            <w:r w:rsidRPr="00025AE9">
              <w:rPr>
                <w:sz w:val="22"/>
                <w:szCs w:val="22"/>
              </w:rPr>
              <w:t>Formeln för beräkning av E</w:t>
            </w:r>
            <w:r w:rsidRPr="00025AE9">
              <w:rPr>
                <w:sz w:val="22"/>
                <w:szCs w:val="22"/>
                <w:vertAlign w:val="subscript"/>
              </w:rPr>
              <w:t>korr</w:t>
            </w:r>
            <w:r w:rsidRPr="00025AE9">
              <w:rPr>
                <w:sz w:val="22"/>
                <w:szCs w:val="22"/>
              </w:rPr>
              <w:t xml:space="preserve"> är fortfarande felaktig (samma fel som tidigare påpekats finnas i BEN 1). Där måste också finnas en term som tar hänsyn till uppvärmningssäsongens längd. Annars kommer korrektionen att bli för stor och i vissa fall felet ungefär lika stor som om ingen korrektion gjorts alls (men med omvänt tecken).</w:t>
            </w:r>
          </w:p>
        </w:tc>
        <w:tc>
          <w:tcPr>
            <w:tcW w:w="4168" w:type="dxa"/>
            <w:shd w:val="clear" w:color="auto" w:fill="auto"/>
          </w:tcPr>
          <w:p w14:paraId="4744B5FE" w14:textId="77777777" w:rsidR="00025AE9" w:rsidRPr="00025AE9" w:rsidRDefault="00025AE9" w:rsidP="00025AE9">
            <w:pPr>
              <w:tabs>
                <w:tab w:val="left" w:pos="5220"/>
              </w:tabs>
              <w:rPr>
                <w:sz w:val="22"/>
                <w:szCs w:val="22"/>
              </w:rPr>
            </w:pPr>
            <w:r w:rsidRPr="00025AE9">
              <w:rPr>
                <w:sz w:val="22"/>
                <w:szCs w:val="22"/>
              </w:rPr>
              <w:t>Lägg till följande korrektionsfaktor:</w:t>
            </w:r>
          </w:p>
          <w:p w14:paraId="32069E9A" w14:textId="77777777" w:rsidR="00025AE9" w:rsidRPr="00025AE9" w:rsidRDefault="00025AE9" w:rsidP="00025AE9">
            <w:pPr>
              <w:tabs>
                <w:tab w:val="left" w:pos="5220"/>
              </w:tabs>
              <w:rPr>
                <w:i/>
                <w:sz w:val="22"/>
                <w:szCs w:val="22"/>
              </w:rPr>
            </w:pPr>
            <w:r w:rsidRPr="00025AE9">
              <w:rPr>
                <w:i/>
                <w:sz w:val="22"/>
                <w:szCs w:val="22"/>
              </w:rPr>
              <w:t>t</w:t>
            </w:r>
            <w:r w:rsidRPr="00025AE9">
              <w:rPr>
                <w:i/>
                <w:sz w:val="22"/>
                <w:szCs w:val="22"/>
                <w:vertAlign w:val="subscript"/>
              </w:rPr>
              <w:t>uppv</w:t>
            </w:r>
            <w:r w:rsidRPr="00025AE9">
              <w:rPr>
                <w:i/>
                <w:sz w:val="22"/>
                <w:szCs w:val="22"/>
              </w:rPr>
              <w:t xml:space="preserve"> / 8760</w:t>
            </w:r>
          </w:p>
          <w:p w14:paraId="42FF3ECE" w14:textId="77777777" w:rsidR="00025AE9" w:rsidRPr="00025AE9" w:rsidRDefault="00025AE9" w:rsidP="00025AE9">
            <w:pPr>
              <w:tabs>
                <w:tab w:val="left" w:pos="5220"/>
              </w:tabs>
              <w:rPr>
                <w:sz w:val="22"/>
                <w:szCs w:val="22"/>
              </w:rPr>
            </w:pPr>
            <w:r w:rsidRPr="00025AE9">
              <w:rPr>
                <w:sz w:val="22"/>
                <w:szCs w:val="22"/>
              </w:rPr>
              <w:t>där</w:t>
            </w:r>
          </w:p>
          <w:p w14:paraId="55193BE7" w14:textId="77777777" w:rsidR="00025AE9" w:rsidRPr="00EB756F" w:rsidRDefault="00025AE9" w:rsidP="00025AE9">
            <w:pPr>
              <w:tabs>
                <w:tab w:val="left" w:pos="5220"/>
              </w:tabs>
              <w:rPr>
                <w:sz w:val="22"/>
                <w:szCs w:val="22"/>
              </w:rPr>
            </w:pPr>
            <w:r w:rsidRPr="00025AE9">
              <w:rPr>
                <w:i/>
                <w:sz w:val="22"/>
                <w:szCs w:val="22"/>
              </w:rPr>
              <w:t>t</w:t>
            </w:r>
            <w:r w:rsidRPr="00025AE9">
              <w:rPr>
                <w:i/>
                <w:sz w:val="22"/>
                <w:szCs w:val="22"/>
                <w:vertAlign w:val="subscript"/>
              </w:rPr>
              <w:t>uppv</w:t>
            </w:r>
            <w:r w:rsidRPr="00025AE9">
              <w:rPr>
                <w:i/>
                <w:sz w:val="22"/>
                <w:szCs w:val="22"/>
              </w:rPr>
              <w:t xml:space="preserve"> </w:t>
            </w:r>
            <w:r w:rsidRPr="00025AE9">
              <w:rPr>
                <w:sz w:val="22"/>
                <w:szCs w:val="22"/>
              </w:rPr>
              <w:t>Uppvärmningssäsongens längd (h)</w:t>
            </w:r>
          </w:p>
        </w:tc>
      </w:tr>
    </w:tbl>
    <w:p w14:paraId="7DD22DBF" w14:textId="77777777" w:rsidR="00B60925" w:rsidRDefault="00B60925">
      <w:pPr>
        <w:tabs>
          <w:tab w:val="left" w:pos="5220"/>
        </w:tabs>
      </w:pPr>
    </w:p>
    <w:p w14:paraId="0332057B" w14:textId="77777777" w:rsidR="006E0DA8" w:rsidRDefault="006E0DA8">
      <w:pPr>
        <w:rPr>
          <w:b/>
        </w:rPr>
      </w:pPr>
      <w:r>
        <w:rPr>
          <w:b/>
        </w:rPr>
        <w:br w:type="page"/>
      </w:r>
    </w:p>
    <w:p w14:paraId="3108F45C" w14:textId="77777777" w:rsidR="006E0DA8" w:rsidRDefault="006E0DA8" w:rsidP="006E0DA8"/>
    <w:p w14:paraId="3F933B80" w14:textId="77777777" w:rsidR="00D879A6" w:rsidRDefault="00D879A6" w:rsidP="00B60925"/>
    <w:p w14:paraId="0E5E7252" w14:textId="77777777" w:rsidR="00E74425" w:rsidRPr="00E730B2" w:rsidRDefault="00E74425" w:rsidP="00670717">
      <w:pPr>
        <w:rPr>
          <w:b/>
        </w:rPr>
      </w:pPr>
      <w:r w:rsidRPr="00E730B2">
        <w:rPr>
          <w:b/>
        </w:rPr>
        <w:t>Primärenergi</w:t>
      </w:r>
      <w:r w:rsidR="00AF65C4">
        <w:rPr>
          <w:b/>
        </w:rPr>
        <w:t xml:space="preserve"> och primärenergital</w:t>
      </w:r>
    </w:p>
    <w:p w14:paraId="58547EF1" w14:textId="77777777" w:rsidR="00D879A6" w:rsidRDefault="00364A6A">
      <w:pPr>
        <w:tabs>
          <w:tab w:val="left" w:pos="5220"/>
        </w:tabs>
      </w:pPr>
      <w:r>
        <w:t xml:space="preserve">Den i tabell 9:2b </w:t>
      </w:r>
      <w:r w:rsidR="00260CF1">
        <w:t xml:space="preserve">BBR B </w:t>
      </w:r>
      <w:r>
        <w:t>föreslagna primärenergifaktorn för el är alldeles för hög ur ett svenskt perspektiv men även ur ett Europaperspektiv vilket även beskrivits i en rapport</w:t>
      </w:r>
      <w:r w:rsidR="00D568F5">
        <w:rPr>
          <w:rStyle w:val="Fotnotsreferens"/>
        </w:rPr>
        <w:footnoteReference w:id="1"/>
      </w:r>
      <w:r>
        <w:t xml:space="preserve"> som togs fram under 2016 på uppdrag av EU-</w:t>
      </w:r>
      <w:r w:rsidR="00260CF1">
        <w:t>kommissionen</w:t>
      </w:r>
      <w:r>
        <w:t xml:space="preserve">, se </w:t>
      </w:r>
      <w:r w:rsidR="00670717">
        <w:t>urklipp ur rapporten i rutan nedan.</w:t>
      </w:r>
    </w:p>
    <w:p w14:paraId="3C96C482" w14:textId="77777777" w:rsidR="00364A6A" w:rsidRDefault="00670717">
      <w:pPr>
        <w:tabs>
          <w:tab w:val="left" w:pos="5220"/>
        </w:tabs>
      </w:pPr>
      <w:r>
        <w:rPr>
          <w:noProof/>
        </w:rPr>
        <mc:AlternateContent>
          <mc:Choice Requires="wps">
            <w:drawing>
              <wp:anchor distT="0" distB="0" distL="114300" distR="114300" simplePos="0" relativeHeight="251663872" behindDoc="0" locked="0" layoutInCell="1" allowOverlap="1" wp14:anchorId="0EE1DE58" wp14:editId="0A1B8D0B">
                <wp:simplePos x="0" y="0"/>
                <wp:positionH relativeFrom="column">
                  <wp:posOffset>-6824</wp:posOffset>
                </wp:positionH>
                <wp:positionV relativeFrom="paragraph">
                  <wp:posOffset>134629</wp:posOffset>
                </wp:positionV>
                <wp:extent cx="8959755" cy="2572603"/>
                <wp:effectExtent l="0" t="0" r="13335" b="18415"/>
                <wp:wrapNone/>
                <wp:docPr id="12" name="Rektangel 12"/>
                <wp:cNvGraphicFramePr/>
                <a:graphic xmlns:a="http://schemas.openxmlformats.org/drawingml/2006/main">
                  <a:graphicData uri="http://schemas.microsoft.com/office/word/2010/wordprocessingShape">
                    <wps:wsp>
                      <wps:cNvSpPr/>
                      <wps:spPr>
                        <a:xfrm>
                          <a:off x="0" y="0"/>
                          <a:ext cx="8959755" cy="25726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C92EF" id="Rektangel 12" o:spid="_x0000_s1026" style="position:absolute;margin-left:-.55pt;margin-top:10.6pt;width:705.5pt;height:202.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" filled="f" strokecolor="black [3213]" strokeweight="2pt"/>
            </w:pict>
          </mc:Fallback>
        </mc:AlternateContent>
      </w:r>
    </w:p>
    <w:p w14:paraId="7EFD8AB6" w14:textId="77777777" w:rsidR="00E730B2" w:rsidRDefault="00E730B2">
      <w:pPr>
        <w:tabs>
          <w:tab w:val="left" w:pos="5220"/>
        </w:tabs>
      </w:pPr>
      <w:r>
        <w:rPr>
          <w:noProof/>
        </w:rPr>
        <w:drawing>
          <wp:inline distT="0" distB="0" distL="0" distR="0" wp14:anchorId="5DFEA5E0" wp14:editId="0D2E7C23">
            <wp:extent cx="3475116" cy="1091821"/>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86" t="39832" r="38177" b="43055"/>
                    <a:stretch/>
                  </pic:blipFill>
                  <pic:spPr bwMode="auto">
                    <a:xfrm>
                      <a:off x="0" y="0"/>
                      <a:ext cx="3523879" cy="1107142"/>
                    </a:xfrm>
                    <a:prstGeom prst="rect">
                      <a:avLst/>
                    </a:prstGeom>
                    <a:ln>
                      <a:noFill/>
                    </a:ln>
                    <a:extLst>
                      <a:ext uri="{53640926-AAD7-44D8-BBD7-CCE9431645EC}">
                        <a14:shadowObscured xmlns:a14="http://schemas.microsoft.com/office/drawing/2010/main"/>
                      </a:ext>
                    </a:extLst>
                  </pic:spPr>
                </pic:pic>
              </a:graphicData>
            </a:graphic>
          </wp:inline>
        </w:drawing>
      </w:r>
    </w:p>
    <w:p w14:paraId="5FBF6000" w14:textId="77777777" w:rsidR="00364A6A" w:rsidRDefault="00364A6A">
      <w:pPr>
        <w:tabs>
          <w:tab w:val="left" w:pos="5220"/>
        </w:tabs>
      </w:pPr>
    </w:p>
    <w:p w14:paraId="4BD2D1D1" w14:textId="77777777" w:rsidR="00364A6A" w:rsidRDefault="00364A6A" w:rsidP="00364A6A">
      <w:pPr>
        <w:pStyle w:val="Default"/>
        <w:rPr>
          <w:sz w:val="22"/>
          <w:szCs w:val="22"/>
          <w:lang w:val="en-US"/>
        </w:rPr>
      </w:pPr>
      <w:r w:rsidRPr="00364A6A">
        <w:rPr>
          <w:sz w:val="22"/>
          <w:szCs w:val="22"/>
          <w:lang w:val="en-US"/>
        </w:rPr>
        <w:t xml:space="preserve">The calculation is mainly based on the PRIMES 2012 Reference Scenario. This dataset is selected as it is the most recent dataset that is available to the European Commission and this consortium in all details. The results presented in Table 1 show the following central aspects: </w:t>
      </w:r>
    </w:p>
    <w:p w14:paraId="71C81564" w14:textId="77777777" w:rsidR="00364A6A" w:rsidRPr="00364A6A" w:rsidRDefault="00364A6A" w:rsidP="00364A6A">
      <w:pPr>
        <w:pStyle w:val="Default"/>
        <w:rPr>
          <w:sz w:val="22"/>
          <w:szCs w:val="22"/>
          <w:lang w:val="en-US"/>
        </w:rPr>
      </w:pPr>
    </w:p>
    <w:p w14:paraId="23E98EB2" w14:textId="77777777" w:rsidR="00E730B2" w:rsidRPr="00670717" w:rsidRDefault="00364A6A" w:rsidP="0055749C">
      <w:pPr>
        <w:pStyle w:val="Default"/>
        <w:numPr>
          <w:ilvl w:val="0"/>
          <w:numId w:val="1"/>
        </w:numPr>
        <w:spacing w:after="284"/>
        <w:rPr>
          <w:sz w:val="22"/>
          <w:szCs w:val="22"/>
          <w:lang w:val="en-US"/>
        </w:rPr>
      </w:pPr>
      <w:r w:rsidRPr="00670717">
        <w:rPr>
          <w:sz w:val="22"/>
          <w:szCs w:val="22"/>
          <w:lang w:val="en-US"/>
        </w:rPr>
        <w:t>The PEF of 2.5 is not adequate and should be revised.</w:t>
      </w:r>
    </w:p>
    <w:p w14:paraId="521415C2" w14:textId="77777777" w:rsidR="00364A6A" w:rsidRPr="00E730B2" w:rsidRDefault="00364A6A" w:rsidP="0055749C">
      <w:pPr>
        <w:pStyle w:val="Default"/>
        <w:numPr>
          <w:ilvl w:val="0"/>
          <w:numId w:val="1"/>
        </w:numPr>
        <w:spacing w:after="284"/>
        <w:rPr>
          <w:sz w:val="22"/>
          <w:szCs w:val="22"/>
          <w:lang w:val="en-US"/>
        </w:rPr>
      </w:pPr>
      <w:r w:rsidRPr="00E730B2">
        <w:rPr>
          <w:sz w:val="22"/>
          <w:szCs w:val="22"/>
          <w:lang w:val="en-US"/>
        </w:rPr>
        <w:t xml:space="preserve">All calculation methods show a considerable decrease of the PEF due to the projected growth of electricity generation from renewable sources of energy. </w:t>
      </w:r>
    </w:p>
    <w:p w14:paraId="67939E2C" w14:textId="77777777" w:rsidR="007113B8" w:rsidRPr="007113B8" w:rsidRDefault="00670717" w:rsidP="007113B8">
      <w:pPr>
        <w:pStyle w:val="Default"/>
        <w:rPr>
          <w:rFonts w:ascii="Times New Roman" w:hAnsi="Times New Roman" w:cs="Times New Roman"/>
          <w:color w:val="auto"/>
        </w:rPr>
      </w:pPr>
      <w:r w:rsidRPr="00BD4349">
        <w:rPr>
          <w:rFonts w:ascii="Times New Roman" w:hAnsi="Times New Roman" w:cs="Times New Roman"/>
          <w:color w:val="auto"/>
        </w:rPr>
        <w:br/>
      </w:r>
      <w:r w:rsidR="00E730B2" w:rsidRPr="007113B8">
        <w:rPr>
          <w:rFonts w:ascii="Times New Roman" w:hAnsi="Times New Roman" w:cs="Times New Roman"/>
          <w:color w:val="auto"/>
        </w:rPr>
        <w:t xml:space="preserve">TMF påpekade redan </w:t>
      </w:r>
      <w:r w:rsidR="007113B8" w:rsidRPr="007113B8">
        <w:rPr>
          <w:rFonts w:ascii="Times New Roman" w:hAnsi="Times New Roman" w:cs="Times New Roman"/>
          <w:color w:val="auto"/>
        </w:rPr>
        <w:t xml:space="preserve">i </w:t>
      </w:r>
      <w:r w:rsidR="00E730B2" w:rsidRPr="007113B8">
        <w:rPr>
          <w:rFonts w:ascii="Times New Roman" w:hAnsi="Times New Roman" w:cs="Times New Roman"/>
          <w:color w:val="auto"/>
        </w:rPr>
        <w:t>remissvaret</w:t>
      </w:r>
      <w:r w:rsidR="007113B8" w:rsidRPr="007113B8">
        <w:rPr>
          <w:rFonts w:ascii="Times New Roman" w:hAnsi="Times New Roman" w:cs="Times New Roman"/>
          <w:color w:val="auto"/>
        </w:rPr>
        <w:t xml:space="preserve"> på Boverkets rapport 2015:26 ”Förslag till svensk tillämpning av nära-nollenergibyggnader”</w:t>
      </w:r>
      <w:r w:rsidR="007113B8">
        <w:rPr>
          <w:rFonts w:ascii="Times New Roman" w:hAnsi="Times New Roman" w:cs="Times New Roman"/>
          <w:color w:val="auto"/>
        </w:rPr>
        <w:t xml:space="preserve"> att den då kallade viktingsfaktorn 2,5 var alldeles för hög vilket skulle medföra att främst de mindre husen </w:t>
      </w:r>
      <w:r w:rsidR="00260CF1">
        <w:rPr>
          <w:rFonts w:ascii="Times New Roman" w:hAnsi="Times New Roman" w:cs="Times New Roman"/>
          <w:color w:val="auto"/>
        </w:rPr>
        <w:t xml:space="preserve">med större omslutande area </w:t>
      </w:r>
      <w:r w:rsidR="00BD4349">
        <w:rPr>
          <w:rFonts w:ascii="Times New Roman" w:hAnsi="Times New Roman" w:cs="Times New Roman"/>
          <w:color w:val="auto"/>
        </w:rPr>
        <w:t>skulle få stora problem med att klara kraven utan mycket omfattande åtgärder</w:t>
      </w:r>
      <w:r w:rsidR="007113B8">
        <w:rPr>
          <w:rFonts w:ascii="Times New Roman" w:hAnsi="Times New Roman" w:cs="Times New Roman"/>
          <w:color w:val="auto"/>
        </w:rPr>
        <w:t xml:space="preserve"> vilket åter visas i de beräkningar som visas i Tabell </w:t>
      </w:r>
      <w:r w:rsidR="00AF65C4">
        <w:rPr>
          <w:rFonts w:ascii="Times New Roman" w:hAnsi="Times New Roman" w:cs="Times New Roman"/>
          <w:color w:val="auto"/>
        </w:rPr>
        <w:t>3</w:t>
      </w:r>
      <w:r w:rsidR="007113B8">
        <w:rPr>
          <w:rFonts w:ascii="Times New Roman" w:hAnsi="Times New Roman" w:cs="Times New Roman"/>
          <w:color w:val="auto"/>
        </w:rPr>
        <w:t xml:space="preserve"> nedan. Syftet med viktningsfaktorn var i stort att skapa teknikneutralitet mellan Fjärrvärme och värmepump, om detta fortfarande är eftersträvansvärt så skall PE</w:t>
      </w:r>
      <w:r w:rsidR="007113B8" w:rsidRPr="00036BE2">
        <w:rPr>
          <w:rFonts w:ascii="Times New Roman" w:hAnsi="Times New Roman" w:cs="Times New Roman"/>
          <w:color w:val="auto"/>
          <w:vertAlign w:val="subscript"/>
        </w:rPr>
        <w:t>el</w:t>
      </w:r>
      <w:r w:rsidR="007113B8">
        <w:rPr>
          <w:rFonts w:ascii="Times New Roman" w:hAnsi="Times New Roman" w:cs="Times New Roman"/>
          <w:color w:val="auto"/>
        </w:rPr>
        <w:t xml:space="preserve"> vara </w:t>
      </w:r>
      <w:r w:rsidR="00036BE2">
        <w:rPr>
          <w:rFonts w:ascii="Times New Roman" w:hAnsi="Times New Roman" w:cs="Times New Roman"/>
          <w:color w:val="auto"/>
        </w:rPr>
        <w:t>2,0 vilket stämmer bättre med den utredning EU-kommissionen låtit göra, Table 1 ovan och Tabell 3:4 i BEN 2.</w:t>
      </w:r>
      <w:r w:rsidR="00AF65C4">
        <w:rPr>
          <w:rFonts w:ascii="Times New Roman" w:hAnsi="Times New Roman" w:cs="Times New Roman"/>
          <w:color w:val="auto"/>
        </w:rPr>
        <w:t xml:space="preserve"> Med en mer relevant nivå på PE</w:t>
      </w:r>
      <w:r w:rsidR="00AF65C4" w:rsidRPr="003C6131">
        <w:rPr>
          <w:rFonts w:ascii="Times New Roman" w:hAnsi="Times New Roman" w:cs="Times New Roman"/>
          <w:color w:val="auto"/>
          <w:vertAlign w:val="subscript"/>
        </w:rPr>
        <w:t>el</w:t>
      </w:r>
      <w:r w:rsidR="007B788E">
        <w:rPr>
          <w:rFonts w:ascii="Times New Roman" w:hAnsi="Times New Roman" w:cs="Times New Roman"/>
          <w:color w:val="auto"/>
        </w:rPr>
        <w:t>=2,0</w:t>
      </w:r>
      <w:r w:rsidR="00AF65C4">
        <w:rPr>
          <w:rFonts w:ascii="Times New Roman" w:hAnsi="Times New Roman" w:cs="Times New Roman"/>
          <w:color w:val="auto"/>
        </w:rPr>
        <w:t xml:space="preserve"> kan lämplig kravnivå nås genom att ändra primärenergitalen</w:t>
      </w:r>
      <w:r w:rsidR="003C6131">
        <w:rPr>
          <w:rFonts w:ascii="Times New Roman" w:hAnsi="Times New Roman" w:cs="Times New Roman"/>
          <w:color w:val="auto"/>
        </w:rPr>
        <w:t xml:space="preserve"> PET</w:t>
      </w:r>
      <w:r w:rsidR="003C6131" w:rsidRPr="003C6131">
        <w:rPr>
          <w:rFonts w:ascii="Times New Roman" w:hAnsi="Times New Roman" w:cs="Times New Roman"/>
          <w:color w:val="auto"/>
          <w:vertAlign w:val="subscript"/>
        </w:rPr>
        <w:t>max</w:t>
      </w:r>
      <w:r w:rsidR="003C6131">
        <w:rPr>
          <w:rFonts w:ascii="Times New Roman" w:hAnsi="Times New Roman" w:cs="Times New Roman"/>
          <w:color w:val="auto"/>
        </w:rPr>
        <w:t xml:space="preserve"> till 80 kWh/m</w:t>
      </w:r>
      <w:r w:rsidR="003C6131" w:rsidRPr="003C6131">
        <w:rPr>
          <w:rFonts w:ascii="Times New Roman" w:hAnsi="Times New Roman" w:cs="Times New Roman"/>
          <w:color w:val="auto"/>
          <w:vertAlign w:val="superscript"/>
        </w:rPr>
        <w:t>2</w:t>
      </w:r>
      <w:r w:rsidR="003C6131">
        <w:rPr>
          <w:rFonts w:ascii="Times New Roman" w:hAnsi="Times New Roman" w:cs="Times New Roman"/>
          <w:color w:val="auto"/>
        </w:rPr>
        <w:t xml:space="preserve"> år för både småhus och flerbostadshus.</w:t>
      </w:r>
    </w:p>
    <w:p w14:paraId="2527F100" w14:textId="77777777" w:rsidR="00B60925" w:rsidRPr="007113B8" w:rsidRDefault="00B60925">
      <w:pPr>
        <w:tabs>
          <w:tab w:val="left" w:pos="5220"/>
        </w:tabs>
      </w:pPr>
    </w:p>
    <w:p w14:paraId="08555FE0" w14:textId="77777777" w:rsidR="001C59A9" w:rsidRPr="00B071EA" w:rsidRDefault="001C59A9">
      <w:pPr>
        <w:tabs>
          <w:tab w:val="left" w:pos="5220"/>
        </w:tabs>
        <w:rPr>
          <w:b/>
        </w:rPr>
      </w:pPr>
      <w:r w:rsidRPr="00B071EA">
        <w:rPr>
          <w:b/>
        </w:rPr>
        <w:t>Areakorrektion</w:t>
      </w:r>
      <w:r w:rsidR="007B788E">
        <w:rPr>
          <w:b/>
        </w:rPr>
        <w:t xml:space="preserve"> småhus</w:t>
      </w:r>
    </w:p>
    <w:p w14:paraId="4E4BC3CE" w14:textId="77777777" w:rsidR="00F64AE2" w:rsidRDefault="00D568F5" w:rsidP="00F64AE2">
      <w:pPr>
        <w:autoSpaceDE w:val="0"/>
        <w:autoSpaceDN w:val="0"/>
        <w:adjustRightInd w:val="0"/>
      </w:pPr>
      <w:r>
        <w:t>Den av Boverket föreslagna areakorrektionen är inte tillräcklig</w:t>
      </w:r>
      <w:r w:rsidR="001866E3">
        <w:t xml:space="preserve">, </w:t>
      </w:r>
      <w:r>
        <w:t>speciellt inte om husen är i vinkel eller liknande då den omslutande arean ökar i förhållande till A</w:t>
      </w:r>
      <w:r w:rsidRPr="00260CF1">
        <w:rPr>
          <w:vertAlign w:val="subscript"/>
        </w:rPr>
        <w:t>temp</w:t>
      </w:r>
      <w:r>
        <w:t xml:space="preserve">. Det måste fortfarande vara möjligt att bygga lite mindre småhus och även hus med olika utformningar och inte bara kompakta rektangulära lådor. </w:t>
      </w:r>
      <w:r w:rsidR="00F64AE2" w:rsidRPr="00F64AE2">
        <w:t>Boverkets föreslagna areakorrektion för ”små småhus” i BBR (A) 2021 är inte fysikalisk och gör tabell 9:2a onödigt komplicerad. Även ett småhus på 130 m</w:t>
      </w:r>
      <w:r w:rsidR="00F64AE2" w:rsidRPr="00F64AE2">
        <w:rPr>
          <w:vertAlign w:val="superscript"/>
        </w:rPr>
        <w:t>2</w:t>
      </w:r>
      <w:r w:rsidR="00F64AE2" w:rsidRPr="00F64AE2">
        <w:t xml:space="preserve"> är relativt litet och har med samma byggnadssystem svårare att klara föreslagen kravnivå än ett småhus på 200 m</w:t>
      </w:r>
      <w:r w:rsidR="00F64AE2" w:rsidRPr="00F64AE2">
        <w:rPr>
          <w:vertAlign w:val="superscript"/>
        </w:rPr>
        <w:t>2</w:t>
      </w:r>
      <w:r w:rsidR="00F64AE2" w:rsidRPr="00F64AE2">
        <w:t>. Flera beräkningar har gjorts för olika stora enplans men i övrigt väldigt kompakta småhus och med antagande om samma byggnadssystem</w:t>
      </w:r>
      <w:r w:rsidR="001866E3">
        <w:t>, se Tabell 1</w:t>
      </w:r>
      <w:r w:rsidR="00F64AE2" w:rsidRPr="00F64AE2">
        <w:t xml:space="preserve">. </w:t>
      </w:r>
      <w:r w:rsidR="001866E3">
        <w:t xml:space="preserve">Nedan föreslås en alternativ </w:t>
      </w:r>
      <w:r w:rsidR="00F64AE2" w:rsidRPr="00F64AE2">
        <w:t>korrektionsfaktor för småhus mindre än 200 m</w:t>
      </w:r>
      <w:r w:rsidR="00F64AE2" w:rsidRPr="00F64AE2">
        <w:rPr>
          <w:vertAlign w:val="superscript"/>
        </w:rPr>
        <w:t>2</w:t>
      </w:r>
      <w:r w:rsidR="00F64AE2" w:rsidRPr="00F64AE2">
        <w:t xml:space="preserve"> </w:t>
      </w:r>
      <w:r w:rsidR="001866E3">
        <w:t xml:space="preserve">som medför </w:t>
      </w:r>
      <w:r w:rsidR="00F64AE2" w:rsidRPr="00F64AE2">
        <w:t xml:space="preserve">att man med samma byggnads- och installationstekniska lösning bör klara samma krav på maximalt PET oberoende av storlek: </w:t>
      </w:r>
    </w:p>
    <w:p w14:paraId="4BA38EDA" w14:textId="77777777" w:rsidR="00D568F5" w:rsidRPr="00F64AE2" w:rsidRDefault="00D568F5" w:rsidP="00F64AE2">
      <w:pPr>
        <w:autoSpaceDE w:val="0"/>
        <w:autoSpaceDN w:val="0"/>
        <w:adjustRightInd w:val="0"/>
      </w:pPr>
    </w:p>
    <w:p w14:paraId="5CAC12F1" w14:textId="77777777" w:rsidR="00F64AE2" w:rsidRDefault="00F64AE2" w:rsidP="00F64AE2">
      <w:pPr>
        <w:autoSpaceDE w:val="0"/>
        <w:autoSpaceDN w:val="0"/>
        <w:adjustRightInd w:val="0"/>
      </w:pPr>
      <w:r w:rsidRPr="00F64AE2">
        <w:t>F</w:t>
      </w:r>
      <w:r w:rsidRPr="00F64AE2">
        <w:rPr>
          <w:vertAlign w:val="subscript"/>
        </w:rPr>
        <w:t>area</w:t>
      </w:r>
      <w:r w:rsidRPr="00F64AE2">
        <w:t xml:space="preserve"> = (200/A</w:t>
      </w:r>
      <w:r w:rsidRPr="00F64AE2">
        <w:rPr>
          <w:vertAlign w:val="subscript"/>
        </w:rPr>
        <w:t>temp</w:t>
      </w:r>
      <w:r w:rsidRPr="00F64AE2">
        <w:t>)</w:t>
      </w:r>
      <w:r w:rsidRPr="00F64AE2">
        <w:rPr>
          <w:vertAlign w:val="superscript"/>
        </w:rPr>
        <w:t>0,25</w:t>
      </w:r>
      <w:r w:rsidRPr="00F64AE2">
        <w:t xml:space="preserve"> </w:t>
      </w:r>
    </w:p>
    <w:p w14:paraId="505F87E8" w14:textId="77777777" w:rsidR="00D568F5" w:rsidRPr="00F64AE2" w:rsidRDefault="00D568F5" w:rsidP="00F64AE2">
      <w:pPr>
        <w:autoSpaceDE w:val="0"/>
        <w:autoSpaceDN w:val="0"/>
        <w:adjustRightInd w:val="0"/>
      </w:pPr>
    </w:p>
    <w:p w14:paraId="7BEDBFBF" w14:textId="77777777" w:rsidR="00F64AE2" w:rsidRDefault="00F64AE2" w:rsidP="00F64AE2">
      <w:pPr>
        <w:tabs>
          <w:tab w:val="left" w:pos="5220"/>
        </w:tabs>
      </w:pPr>
      <w:r w:rsidRPr="00D568F5">
        <w:t>Genom att i formeln för beräkning av PET multiplicera A</w:t>
      </w:r>
      <w:r w:rsidRPr="007F54AE">
        <w:rPr>
          <w:vertAlign w:val="subscript"/>
        </w:rPr>
        <w:t>temp</w:t>
      </w:r>
      <w:r w:rsidRPr="00D568F5">
        <w:t xml:space="preserve"> med areakorrektionsfaktorn F</w:t>
      </w:r>
      <w:r w:rsidRPr="007F54AE">
        <w:rPr>
          <w:vertAlign w:val="subscript"/>
        </w:rPr>
        <w:t>area</w:t>
      </w:r>
      <w:r w:rsidRPr="00D568F5">
        <w:t xml:space="preserve"> för småhus mindre än 200 m</w:t>
      </w:r>
      <w:r w:rsidRPr="007F54AE">
        <w:rPr>
          <w:vertAlign w:val="superscript"/>
        </w:rPr>
        <w:t>2</w:t>
      </w:r>
      <w:r w:rsidRPr="00D568F5">
        <w:t xml:space="preserve"> kan samma maximala PET</w:t>
      </w:r>
      <w:r w:rsidRPr="005B623C">
        <w:rPr>
          <w:vertAlign w:val="subscript"/>
        </w:rPr>
        <w:t>max</w:t>
      </w:r>
      <w:r w:rsidRPr="00D568F5">
        <w:t xml:space="preserve"> gälla för olika stora småhus. I BBR (A) kan då i Tabell 9:2a tre rader för småhus ersättas med en enda rad. I </w:t>
      </w:r>
      <w:r w:rsidR="001866E3">
        <w:t xml:space="preserve">Tabell </w:t>
      </w:r>
      <w:r w:rsidR="00DF1822">
        <w:t>1</w:t>
      </w:r>
      <w:r w:rsidRPr="00D568F5">
        <w:t xml:space="preserve"> nedan har omräkning till maximal specifik energianvändning enligt BBR 24 gjorts för olika stora småhus enligt Boverkets föreslagna formel men </w:t>
      </w:r>
      <w:r w:rsidR="005B623C" w:rsidRPr="00D568F5">
        <w:t>med PETmax</w:t>
      </w:r>
      <w:r w:rsidR="00710A7B">
        <w:rPr>
          <w:vertAlign w:val="subscript"/>
        </w:rPr>
        <w:t xml:space="preserve"> </w:t>
      </w:r>
      <w:r w:rsidR="00710A7B" w:rsidRPr="00710A7B">
        <w:t>= 80</w:t>
      </w:r>
      <w:r w:rsidRPr="007F54AE">
        <w:rPr>
          <w:vertAlign w:val="subscript"/>
        </w:rPr>
        <w:t xml:space="preserve"> </w:t>
      </w:r>
      <w:r w:rsidR="00710A7B" w:rsidRPr="00710A7B">
        <w:t>kWh/m</w:t>
      </w:r>
      <w:r w:rsidR="00710A7B" w:rsidRPr="005B623C">
        <w:rPr>
          <w:vertAlign w:val="superscript"/>
        </w:rPr>
        <w:t>2</w:t>
      </w:r>
      <w:r w:rsidR="00710A7B" w:rsidRPr="00710A7B">
        <w:t xml:space="preserve"> år</w:t>
      </w:r>
      <w:r w:rsidR="00710A7B">
        <w:rPr>
          <w:vertAlign w:val="subscript"/>
        </w:rPr>
        <w:t xml:space="preserve"> </w:t>
      </w:r>
      <w:r w:rsidRPr="00D568F5">
        <w:t>och PE</w:t>
      </w:r>
      <w:r w:rsidRPr="00710A7B">
        <w:rPr>
          <w:vertAlign w:val="subscript"/>
        </w:rPr>
        <w:t>el</w:t>
      </w:r>
      <w:r w:rsidR="00710A7B">
        <w:t xml:space="preserve"> = 2,</w:t>
      </w:r>
      <w:r w:rsidR="005B623C">
        <w:t>0</w:t>
      </w:r>
      <w:r w:rsidR="005B623C" w:rsidRPr="00D568F5">
        <w:t xml:space="preserve"> samt</w:t>
      </w:r>
      <w:r w:rsidRPr="00D568F5">
        <w:t xml:space="preserve"> med areakorrektion enligt ovan. Fastighetselen har för småhusen antagits till 5 kWh/m</w:t>
      </w:r>
      <w:r w:rsidRPr="007F54AE">
        <w:rPr>
          <w:vertAlign w:val="superscript"/>
        </w:rPr>
        <w:t>2</w:t>
      </w:r>
      <w:r w:rsidRPr="00D568F5">
        <w:t xml:space="preserve"> och år.</w:t>
      </w:r>
    </w:p>
    <w:p w14:paraId="6AE1F4E0" w14:textId="77777777" w:rsidR="001C59A9" w:rsidRDefault="001C59A9">
      <w:pPr>
        <w:tabs>
          <w:tab w:val="left" w:pos="5220"/>
        </w:tabs>
      </w:pPr>
    </w:p>
    <w:p w14:paraId="797C2431" w14:textId="77777777" w:rsidR="006E0DA8" w:rsidRPr="006E0DA8" w:rsidRDefault="006E0DA8" w:rsidP="006E0DA8">
      <w:pPr>
        <w:autoSpaceDE w:val="0"/>
        <w:autoSpaceDN w:val="0"/>
        <w:adjustRightInd w:val="0"/>
        <w:rPr>
          <w:color w:val="000000"/>
        </w:rPr>
      </w:pPr>
    </w:p>
    <w:p w14:paraId="2A855E85" w14:textId="77777777" w:rsidR="006E0DA8" w:rsidRPr="005B623C" w:rsidRDefault="006E0DA8" w:rsidP="006E0DA8">
      <w:pPr>
        <w:tabs>
          <w:tab w:val="left" w:pos="5220"/>
        </w:tabs>
      </w:pPr>
      <w:r w:rsidRPr="005B623C">
        <w:t xml:space="preserve">Tabell </w:t>
      </w:r>
      <w:r w:rsidR="00DF1822" w:rsidRPr="005B623C">
        <w:t>1</w:t>
      </w:r>
      <w:r w:rsidRPr="005B623C">
        <w:t>. Förslag till alternativa kravnivåer för olika stora småhus i ”BBR2021” omräknat till specifik energianvändning i kWh/m</w:t>
      </w:r>
      <w:r w:rsidRPr="007B788E">
        <w:rPr>
          <w:vertAlign w:val="superscript"/>
        </w:rPr>
        <w:t>2</w:t>
      </w:r>
      <w:r w:rsidRPr="005B623C">
        <w:t xml:space="preserve"> och år enligt BBR 24 (Boverkets förslag inom parentes).</w:t>
      </w:r>
    </w:p>
    <w:p w14:paraId="5987CB63" w14:textId="77777777" w:rsidR="00D568F5" w:rsidRDefault="00D568F5" w:rsidP="006E0DA8">
      <w:pPr>
        <w:tabs>
          <w:tab w:val="left" w:pos="5220"/>
        </w:tabs>
      </w:pPr>
    </w:p>
    <w:tbl>
      <w:tblPr>
        <w:tblStyle w:val="Tabellrutnt"/>
        <w:tblW w:w="0" w:type="auto"/>
        <w:tblLook w:val="04A0" w:firstRow="1" w:lastRow="0" w:firstColumn="1" w:lastColumn="0" w:noHBand="0" w:noVBand="1"/>
      </w:tblPr>
      <w:tblGrid>
        <w:gridCol w:w="2324"/>
        <w:gridCol w:w="1640"/>
        <w:gridCol w:w="1701"/>
        <w:gridCol w:w="1701"/>
        <w:gridCol w:w="1701"/>
        <w:gridCol w:w="1418"/>
      </w:tblGrid>
      <w:tr w:rsidR="0041259E" w14:paraId="0274EC22" w14:textId="77777777" w:rsidTr="0041259E">
        <w:tc>
          <w:tcPr>
            <w:tcW w:w="2324" w:type="dxa"/>
          </w:tcPr>
          <w:p w14:paraId="49928236" w14:textId="77777777" w:rsidR="0041259E" w:rsidRPr="0041259E" w:rsidRDefault="0041259E">
            <w:pPr>
              <w:tabs>
                <w:tab w:val="left" w:pos="5220"/>
              </w:tabs>
              <w:rPr>
                <w:sz w:val="22"/>
                <w:szCs w:val="22"/>
              </w:rPr>
            </w:pPr>
            <w:r w:rsidRPr="0041259E">
              <w:rPr>
                <w:sz w:val="22"/>
                <w:szCs w:val="22"/>
              </w:rPr>
              <w:t>A</w:t>
            </w:r>
            <w:r w:rsidRPr="0041259E">
              <w:rPr>
                <w:sz w:val="22"/>
                <w:szCs w:val="22"/>
                <w:vertAlign w:val="subscript"/>
              </w:rPr>
              <w:t>temp</w:t>
            </w:r>
            <w:r w:rsidRPr="0041259E">
              <w:rPr>
                <w:sz w:val="22"/>
                <w:szCs w:val="22"/>
              </w:rPr>
              <w:t xml:space="preserve"> (m</w:t>
            </w:r>
            <w:r w:rsidRPr="0041259E">
              <w:rPr>
                <w:sz w:val="22"/>
                <w:szCs w:val="22"/>
                <w:vertAlign w:val="superscript"/>
              </w:rPr>
              <w:t>2</w:t>
            </w:r>
            <w:r w:rsidRPr="0041259E">
              <w:rPr>
                <w:sz w:val="22"/>
                <w:szCs w:val="22"/>
              </w:rPr>
              <w:t>)</w:t>
            </w:r>
          </w:p>
        </w:tc>
        <w:tc>
          <w:tcPr>
            <w:tcW w:w="1640" w:type="dxa"/>
          </w:tcPr>
          <w:p w14:paraId="149A2504" w14:textId="77777777" w:rsidR="0041259E" w:rsidRPr="0041259E" w:rsidRDefault="0041259E">
            <w:pPr>
              <w:tabs>
                <w:tab w:val="left" w:pos="5220"/>
              </w:tabs>
              <w:rPr>
                <w:sz w:val="22"/>
                <w:szCs w:val="22"/>
              </w:rPr>
            </w:pPr>
            <w:r w:rsidRPr="0041259E">
              <w:rPr>
                <w:sz w:val="22"/>
                <w:szCs w:val="22"/>
              </w:rPr>
              <w:t>50</w:t>
            </w:r>
          </w:p>
        </w:tc>
        <w:tc>
          <w:tcPr>
            <w:tcW w:w="1701" w:type="dxa"/>
          </w:tcPr>
          <w:p w14:paraId="788AC44B" w14:textId="77777777" w:rsidR="0041259E" w:rsidRPr="0041259E" w:rsidRDefault="0041259E">
            <w:pPr>
              <w:tabs>
                <w:tab w:val="left" w:pos="5220"/>
              </w:tabs>
              <w:rPr>
                <w:sz w:val="22"/>
                <w:szCs w:val="22"/>
              </w:rPr>
            </w:pPr>
            <w:r w:rsidRPr="0041259E">
              <w:rPr>
                <w:sz w:val="22"/>
                <w:szCs w:val="22"/>
              </w:rPr>
              <w:t>90</w:t>
            </w:r>
          </w:p>
        </w:tc>
        <w:tc>
          <w:tcPr>
            <w:tcW w:w="1701" w:type="dxa"/>
          </w:tcPr>
          <w:p w14:paraId="7E997A23" w14:textId="77777777" w:rsidR="0041259E" w:rsidRPr="0041259E" w:rsidRDefault="0041259E">
            <w:pPr>
              <w:tabs>
                <w:tab w:val="left" w:pos="5220"/>
              </w:tabs>
              <w:rPr>
                <w:sz w:val="22"/>
                <w:szCs w:val="22"/>
              </w:rPr>
            </w:pPr>
            <w:r w:rsidRPr="0041259E">
              <w:rPr>
                <w:sz w:val="22"/>
                <w:szCs w:val="22"/>
              </w:rPr>
              <w:t>130</w:t>
            </w:r>
          </w:p>
        </w:tc>
        <w:tc>
          <w:tcPr>
            <w:tcW w:w="1701" w:type="dxa"/>
          </w:tcPr>
          <w:p w14:paraId="60EF8B85" w14:textId="77777777" w:rsidR="0041259E" w:rsidRPr="0041259E" w:rsidRDefault="0041259E">
            <w:pPr>
              <w:tabs>
                <w:tab w:val="left" w:pos="5220"/>
              </w:tabs>
              <w:rPr>
                <w:sz w:val="22"/>
                <w:szCs w:val="22"/>
              </w:rPr>
            </w:pPr>
            <w:r w:rsidRPr="0041259E">
              <w:rPr>
                <w:sz w:val="22"/>
                <w:szCs w:val="22"/>
              </w:rPr>
              <w:t>160</w:t>
            </w:r>
          </w:p>
        </w:tc>
        <w:tc>
          <w:tcPr>
            <w:tcW w:w="1418" w:type="dxa"/>
          </w:tcPr>
          <w:p w14:paraId="60C8626D" w14:textId="77777777" w:rsidR="0041259E" w:rsidRPr="0041259E" w:rsidRDefault="0041259E">
            <w:pPr>
              <w:tabs>
                <w:tab w:val="left" w:pos="5220"/>
              </w:tabs>
              <w:rPr>
                <w:sz w:val="22"/>
                <w:szCs w:val="22"/>
              </w:rPr>
            </w:pPr>
            <w:r w:rsidRPr="0041259E">
              <w:rPr>
                <w:sz w:val="22"/>
                <w:szCs w:val="22"/>
              </w:rPr>
              <w:t>200</w:t>
            </w:r>
          </w:p>
        </w:tc>
      </w:tr>
      <w:tr w:rsidR="0041259E" w14:paraId="73EA4958" w14:textId="77777777" w:rsidTr="0041259E">
        <w:tc>
          <w:tcPr>
            <w:tcW w:w="2324" w:type="dxa"/>
          </w:tcPr>
          <w:p w14:paraId="5A93837B" w14:textId="77777777" w:rsidR="0041259E" w:rsidRPr="0041259E" w:rsidRDefault="0041259E">
            <w:pPr>
              <w:tabs>
                <w:tab w:val="left" w:pos="5220"/>
              </w:tabs>
              <w:rPr>
                <w:sz w:val="22"/>
                <w:szCs w:val="22"/>
              </w:rPr>
            </w:pPr>
            <w:r w:rsidRPr="0041259E">
              <w:rPr>
                <w:sz w:val="22"/>
                <w:szCs w:val="22"/>
              </w:rPr>
              <w:t>PET</w:t>
            </w:r>
            <w:r w:rsidRPr="0041259E">
              <w:rPr>
                <w:sz w:val="22"/>
                <w:szCs w:val="22"/>
                <w:vertAlign w:val="subscript"/>
              </w:rPr>
              <w:t>max</w:t>
            </w:r>
            <w:r w:rsidRPr="0041259E">
              <w:rPr>
                <w:sz w:val="22"/>
                <w:szCs w:val="22"/>
              </w:rPr>
              <w:t xml:space="preserve"> (kWh/m</w:t>
            </w:r>
            <w:r w:rsidRPr="0041259E">
              <w:rPr>
                <w:sz w:val="22"/>
                <w:szCs w:val="22"/>
                <w:vertAlign w:val="superscript"/>
              </w:rPr>
              <w:t>2</w:t>
            </w:r>
            <w:r w:rsidRPr="0041259E">
              <w:rPr>
                <w:sz w:val="22"/>
                <w:szCs w:val="22"/>
              </w:rPr>
              <w:t xml:space="preserve"> år)</w:t>
            </w:r>
          </w:p>
        </w:tc>
        <w:tc>
          <w:tcPr>
            <w:tcW w:w="1640" w:type="dxa"/>
          </w:tcPr>
          <w:p w14:paraId="6827E930" w14:textId="77777777" w:rsidR="0041259E" w:rsidRPr="0041259E" w:rsidRDefault="0041259E">
            <w:pPr>
              <w:tabs>
                <w:tab w:val="left" w:pos="5220"/>
              </w:tabs>
              <w:rPr>
                <w:sz w:val="22"/>
                <w:szCs w:val="22"/>
              </w:rPr>
            </w:pPr>
            <w:r w:rsidRPr="0041259E">
              <w:rPr>
                <w:sz w:val="22"/>
                <w:szCs w:val="22"/>
              </w:rPr>
              <w:t>80 (110)</w:t>
            </w:r>
          </w:p>
        </w:tc>
        <w:tc>
          <w:tcPr>
            <w:tcW w:w="1701" w:type="dxa"/>
          </w:tcPr>
          <w:p w14:paraId="5E29CFAC" w14:textId="77777777" w:rsidR="0041259E" w:rsidRPr="0041259E" w:rsidRDefault="0041259E">
            <w:pPr>
              <w:tabs>
                <w:tab w:val="left" w:pos="5220"/>
              </w:tabs>
              <w:rPr>
                <w:sz w:val="22"/>
                <w:szCs w:val="22"/>
              </w:rPr>
            </w:pPr>
            <w:r w:rsidRPr="0041259E">
              <w:rPr>
                <w:sz w:val="22"/>
                <w:szCs w:val="22"/>
              </w:rPr>
              <w:t>80 (110)</w:t>
            </w:r>
          </w:p>
        </w:tc>
        <w:tc>
          <w:tcPr>
            <w:tcW w:w="1701" w:type="dxa"/>
          </w:tcPr>
          <w:p w14:paraId="0510CF48" w14:textId="77777777" w:rsidR="0041259E" w:rsidRPr="0041259E" w:rsidRDefault="0041259E">
            <w:pPr>
              <w:tabs>
                <w:tab w:val="left" w:pos="5220"/>
              </w:tabs>
              <w:rPr>
                <w:sz w:val="22"/>
                <w:szCs w:val="22"/>
              </w:rPr>
            </w:pPr>
            <w:r w:rsidRPr="0041259E">
              <w:rPr>
                <w:sz w:val="22"/>
                <w:szCs w:val="22"/>
              </w:rPr>
              <w:t>80 (90)</w:t>
            </w:r>
          </w:p>
        </w:tc>
        <w:tc>
          <w:tcPr>
            <w:tcW w:w="1701" w:type="dxa"/>
          </w:tcPr>
          <w:p w14:paraId="70ECAFCE" w14:textId="77777777" w:rsidR="0041259E" w:rsidRPr="0041259E" w:rsidRDefault="0041259E">
            <w:pPr>
              <w:tabs>
                <w:tab w:val="left" w:pos="5220"/>
              </w:tabs>
              <w:rPr>
                <w:sz w:val="22"/>
                <w:szCs w:val="22"/>
              </w:rPr>
            </w:pPr>
            <w:r w:rsidRPr="0041259E">
              <w:rPr>
                <w:sz w:val="22"/>
                <w:szCs w:val="22"/>
              </w:rPr>
              <w:t>80 (90)</w:t>
            </w:r>
          </w:p>
        </w:tc>
        <w:tc>
          <w:tcPr>
            <w:tcW w:w="1418" w:type="dxa"/>
          </w:tcPr>
          <w:p w14:paraId="432169F2" w14:textId="77777777" w:rsidR="0041259E" w:rsidRPr="0041259E" w:rsidRDefault="0041259E">
            <w:pPr>
              <w:tabs>
                <w:tab w:val="left" w:pos="5220"/>
              </w:tabs>
              <w:rPr>
                <w:sz w:val="22"/>
                <w:szCs w:val="22"/>
              </w:rPr>
            </w:pPr>
            <w:r w:rsidRPr="0041259E">
              <w:rPr>
                <w:sz w:val="22"/>
                <w:szCs w:val="22"/>
              </w:rPr>
              <w:t>80 (90)</w:t>
            </w:r>
          </w:p>
        </w:tc>
      </w:tr>
      <w:tr w:rsidR="0041259E" w14:paraId="5514E499" w14:textId="77777777" w:rsidTr="0041259E">
        <w:tc>
          <w:tcPr>
            <w:tcW w:w="2324" w:type="dxa"/>
          </w:tcPr>
          <w:p w14:paraId="7E0CAC67" w14:textId="77777777" w:rsidR="0041259E" w:rsidRPr="0041259E" w:rsidRDefault="0041259E">
            <w:pPr>
              <w:tabs>
                <w:tab w:val="left" w:pos="5220"/>
              </w:tabs>
              <w:rPr>
                <w:sz w:val="22"/>
                <w:szCs w:val="22"/>
              </w:rPr>
            </w:pPr>
            <w:r w:rsidRPr="0041259E">
              <w:rPr>
                <w:sz w:val="22"/>
                <w:szCs w:val="22"/>
              </w:rPr>
              <w:t>Fjärrvärme + FTX</w:t>
            </w:r>
          </w:p>
        </w:tc>
        <w:tc>
          <w:tcPr>
            <w:tcW w:w="1640" w:type="dxa"/>
          </w:tcPr>
          <w:p w14:paraId="473ED9F0" w14:textId="77777777" w:rsidR="0041259E" w:rsidRPr="0041259E" w:rsidRDefault="0041259E">
            <w:pPr>
              <w:tabs>
                <w:tab w:val="left" w:pos="5220"/>
              </w:tabs>
              <w:rPr>
                <w:sz w:val="22"/>
                <w:szCs w:val="22"/>
              </w:rPr>
            </w:pPr>
            <w:r w:rsidRPr="0041259E">
              <w:rPr>
                <w:b/>
                <w:sz w:val="22"/>
                <w:szCs w:val="22"/>
              </w:rPr>
              <w:t>106,1</w:t>
            </w:r>
            <w:r w:rsidRPr="0041259E">
              <w:rPr>
                <w:sz w:val="22"/>
                <w:szCs w:val="22"/>
              </w:rPr>
              <w:t xml:space="preserve"> (102,5)</w:t>
            </w:r>
          </w:p>
        </w:tc>
        <w:tc>
          <w:tcPr>
            <w:tcW w:w="1701" w:type="dxa"/>
          </w:tcPr>
          <w:p w14:paraId="513BA307" w14:textId="77777777" w:rsidR="0041259E" w:rsidRPr="0041259E" w:rsidRDefault="0041259E">
            <w:pPr>
              <w:tabs>
                <w:tab w:val="left" w:pos="5220"/>
              </w:tabs>
              <w:rPr>
                <w:sz w:val="22"/>
                <w:szCs w:val="22"/>
              </w:rPr>
            </w:pPr>
            <w:r w:rsidRPr="0041259E">
              <w:rPr>
                <w:b/>
                <w:sz w:val="22"/>
                <w:szCs w:val="22"/>
              </w:rPr>
              <w:t>91,6</w:t>
            </w:r>
            <w:r w:rsidRPr="0041259E">
              <w:rPr>
                <w:sz w:val="22"/>
                <w:szCs w:val="22"/>
              </w:rPr>
              <w:t xml:space="preserve"> (102,5)</w:t>
            </w:r>
          </w:p>
        </w:tc>
        <w:tc>
          <w:tcPr>
            <w:tcW w:w="1701" w:type="dxa"/>
          </w:tcPr>
          <w:p w14:paraId="77EA3162" w14:textId="77777777" w:rsidR="0041259E" w:rsidRPr="0041259E" w:rsidRDefault="0041259E">
            <w:pPr>
              <w:tabs>
                <w:tab w:val="left" w:pos="5220"/>
              </w:tabs>
              <w:rPr>
                <w:sz w:val="22"/>
                <w:szCs w:val="22"/>
              </w:rPr>
            </w:pPr>
            <w:r w:rsidRPr="0041259E">
              <w:rPr>
                <w:b/>
                <w:sz w:val="22"/>
                <w:szCs w:val="22"/>
              </w:rPr>
              <w:t>83,5</w:t>
            </w:r>
            <w:r w:rsidRPr="0041259E">
              <w:rPr>
                <w:sz w:val="22"/>
                <w:szCs w:val="22"/>
              </w:rPr>
              <w:t xml:space="preserve"> (82,5)</w:t>
            </w:r>
          </w:p>
        </w:tc>
        <w:tc>
          <w:tcPr>
            <w:tcW w:w="1701" w:type="dxa"/>
          </w:tcPr>
          <w:p w14:paraId="6E7587BE" w14:textId="77777777" w:rsidR="0041259E" w:rsidRPr="0041259E" w:rsidRDefault="0041259E">
            <w:pPr>
              <w:tabs>
                <w:tab w:val="left" w:pos="5220"/>
              </w:tabs>
              <w:rPr>
                <w:sz w:val="22"/>
                <w:szCs w:val="22"/>
              </w:rPr>
            </w:pPr>
            <w:r w:rsidRPr="00791181">
              <w:rPr>
                <w:b/>
                <w:sz w:val="22"/>
                <w:szCs w:val="22"/>
              </w:rPr>
              <w:t>79,3</w:t>
            </w:r>
            <w:r w:rsidRPr="0041259E">
              <w:rPr>
                <w:sz w:val="22"/>
                <w:szCs w:val="22"/>
              </w:rPr>
              <w:t xml:space="preserve"> (82,5)</w:t>
            </w:r>
          </w:p>
        </w:tc>
        <w:tc>
          <w:tcPr>
            <w:tcW w:w="1418" w:type="dxa"/>
          </w:tcPr>
          <w:p w14:paraId="2DE569B4" w14:textId="77777777" w:rsidR="0041259E" w:rsidRPr="0041259E" w:rsidRDefault="0041259E">
            <w:pPr>
              <w:tabs>
                <w:tab w:val="left" w:pos="5220"/>
              </w:tabs>
              <w:rPr>
                <w:sz w:val="22"/>
                <w:szCs w:val="22"/>
              </w:rPr>
            </w:pPr>
            <w:r w:rsidRPr="00791181">
              <w:rPr>
                <w:b/>
                <w:sz w:val="22"/>
                <w:szCs w:val="22"/>
              </w:rPr>
              <w:t>75,0</w:t>
            </w:r>
            <w:r w:rsidRPr="0041259E">
              <w:rPr>
                <w:sz w:val="22"/>
                <w:szCs w:val="22"/>
              </w:rPr>
              <w:t xml:space="preserve"> (82,5)</w:t>
            </w:r>
          </w:p>
        </w:tc>
      </w:tr>
      <w:tr w:rsidR="0041259E" w14:paraId="0BB7C565" w14:textId="77777777" w:rsidTr="0041259E">
        <w:tc>
          <w:tcPr>
            <w:tcW w:w="2324" w:type="dxa"/>
          </w:tcPr>
          <w:p w14:paraId="1D92A2FE" w14:textId="77777777" w:rsidR="0041259E" w:rsidRPr="0041259E" w:rsidRDefault="0041259E">
            <w:pPr>
              <w:tabs>
                <w:tab w:val="left" w:pos="5220"/>
              </w:tabs>
              <w:rPr>
                <w:sz w:val="22"/>
                <w:szCs w:val="22"/>
              </w:rPr>
            </w:pPr>
            <w:r w:rsidRPr="0041259E">
              <w:rPr>
                <w:sz w:val="22"/>
                <w:szCs w:val="22"/>
              </w:rPr>
              <w:t>Frånluftsvärmepump</w:t>
            </w:r>
          </w:p>
        </w:tc>
        <w:tc>
          <w:tcPr>
            <w:tcW w:w="1640" w:type="dxa"/>
          </w:tcPr>
          <w:p w14:paraId="1D83A2D9" w14:textId="77777777" w:rsidR="0041259E" w:rsidRPr="0041259E" w:rsidRDefault="0041259E">
            <w:pPr>
              <w:tabs>
                <w:tab w:val="left" w:pos="5220"/>
              </w:tabs>
              <w:rPr>
                <w:sz w:val="22"/>
                <w:szCs w:val="22"/>
              </w:rPr>
            </w:pPr>
            <w:r w:rsidRPr="00791181">
              <w:rPr>
                <w:b/>
                <w:sz w:val="22"/>
                <w:szCs w:val="22"/>
              </w:rPr>
              <w:t>56,6</w:t>
            </w:r>
            <w:r w:rsidRPr="0041259E">
              <w:rPr>
                <w:sz w:val="22"/>
                <w:szCs w:val="22"/>
              </w:rPr>
              <w:t xml:space="preserve"> (44,0)</w:t>
            </w:r>
          </w:p>
        </w:tc>
        <w:tc>
          <w:tcPr>
            <w:tcW w:w="1701" w:type="dxa"/>
          </w:tcPr>
          <w:p w14:paraId="5E0B17A0" w14:textId="77777777" w:rsidR="0041259E" w:rsidRPr="0041259E" w:rsidRDefault="0041259E">
            <w:pPr>
              <w:tabs>
                <w:tab w:val="left" w:pos="5220"/>
              </w:tabs>
              <w:rPr>
                <w:sz w:val="22"/>
                <w:szCs w:val="22"/>
              </w:rPr>
            </w:pPr>
            <w:r w:rsidRPr="00791181">
              <w:rPr>
                <w:b/>
                <w:sz w:val="22"/>
                <w:szCs w:val="22"/>
              </w:rPr>
              <w:t>48,8</w:t>
            </w:r>
            <w:r w:rsidRPr="0041259E">
              <w:rPr>
                <w:sz w:val="22"/>
                <w:szCs w:val="22"/>
              </w:rPr>
              <w:t xml:space="preserve"> (44,0)</w:t>
            </w:r>
          </w:p>
        </w:tc>
        <w:tc>
          <w:tcPr>
            <w:tcW w:w="1701" w:type="dxa"/>
          </w:tcPr>
          <w:p w14:paraId="6A964930" w14:textId="77777777" w:rsidR="0041259E" w:rsidRPr="0041259E" w:rsidRDefault="0041259E">
            <w:pPr>
              <w:tabs>
                <w:tab w:val="left" w:pos="5220"/>
              </w:tabs>
              <w:rPr>
                <w:sz w:val="22"/>
                <w:szCs w:val="22"/>
              </w:rPr>
            </w:pPr>
            <w:r w:rsidRPr="00791181">
              <w:rPr>
                <w:b/>
                <w:sz w:val="22"/>
                <w:szCs w:val="22"/>
              </w:rPr>
              <w:t>44,5</w:t>
            </w:r>
            <w:r w:rsidRPr="0041259E">
              <w:rPr>
                <w:sz w:val="22"/>
                <w:szCs w:val="22"/>
              </w:rPr>
              <w:t xml:space="preserve"> (36,0)</w:t>
            </w:r>
          </w:p>
        </w:tc>
        <w:tc>
          <w:tcPr>
            <w:tcW w:w="1701" w:type="dxa"/>
          </w:tcPr>
          <w:p w14:paraId="22829E24" w14:textId="77777777" w:rsidR="0041259E" w:rsidRPr="0041259E" w:rsidRDefault="0041259E">
            <w:pPr>
              <w:tabs>
                <w:tab w:val="left" w:pos="5220"/>
              </w:tabs>
              <w:rPr>
                <w:sz w:val="22"/>
                <w:szCs w:val="22"/>
              </w:rPr>
            </w:pPr>
            <w:r w:rsidRPr="00791181">
              <w:rPr>
                <w:b/>
                <w:sz w:val="22"/>
                <w:szCs w:val="22"/>
              </w:rPr>
              <w:t>42,3</w:t>
            </w:r>
            <w:r w:rsidRPr="0041259E">
              <w:rPr>
                <w:sz w:val="22"/>
                <w:szCs w:val="22"/>
              </w:rPr>
              <w:t xml:space="preserve"> (36,0)</w:t>
            </w:r>
          </w:p>
        </w:tc>
        <w:tc>
          <w:tcPr>
            <w:tcW w:w="1418" w:type="dxa"/>
          </w:tcPr>
          <w:p w14:paraId="07F98D8B" w14:textId="77777777" w:rsidR="0041259E" w:rsidRPr="0041259E" w:rsidRDefault="0041259E">
            <w:pPr>
              <w:tabs>
                <w:tab w:val="left" w:pos="5220"/>
              </w:tabs>
              <w:rPr>
                <w:sz w:val="22"/>
                <w:szCs w:val="22"/>
              </w:rPr>
            </w:pPr>
            <w:r w:rsidRPr="00791181">
              <w:rPr>
                <w:b/>
                <w:sz w:val="22"/>
                <w:szCs w:val="22"/>
              </w:rPr>
              <w:t>40,0</w:t>
            </w:r>
            <w:r w:rsidRPr="0041259E">
              <w:rPr>
                <w:sz w:val="22"/>
                <w:szCs w:val="22"/>
              </w:rPr>
              <w:t xml:space="preserve"> (36,0)</w:t>
            </w:r>
          </w:p>
        </w:tc>
      </w:tr>
    </w:tbl>
    <w:p w14:paraId="241C7A80" w14:textId="77777777" w:rsidR="003762DE" w:rsidRDefault="003762DE">
      <w:pPr>
        <w:tabs>
          <w:tab w:val="left" w:pos="5220"/>
        </w:tabs>
      </w:pPr>
    </w:p>
    <w:p w14:paraId="73944CED" w14:textId="77777777" w:rsidR="004A62A6" w:rsidRDefault="004A62A6">
      <w:pPr>
        <w:tabs>
          <w:tab w:val="left" w:pos="5220"/>
        </w:tabs>
      </w:pPr>
    </w:p>
    <w:p w14:paraId="1B58046E" w14:textId="77777777" w:rsidR="00791181" w:rsidRDefault="00791181">
      <w:pPr>
        <w:rPr>
          <w:b/>
        </w:rPr>
      </w:pPr>
      <w:r>
        <w:rPr>
          <w:b/>
        </w:rPr>
        <w:br w:type="page"/>
      </w:r>
    </w:p>
    <w:p w14:paraId="1AAEABD5" w14:textId="77777777" w:rsidR="004A62A6" w:rsidRPr="00B60925" w:rsidRDefault="004A62A6" w:rsidP="004A62A6">
      <w:pPr>
        <w:rPr>
          <w:b/>
        </w:rPr>
      </w:pPr>
      <w:r w:rsidRPr="00B60925">
        <w:rPr>
          <w:b/>
        </w:rPr>
        <w:lastRenderedPageBreak/>
        <w:t xml:space="preserve">Geografiska justeringsfaktorer </w:t>
      </w:r>
    </w:p>
    <w:p w14:paraId="3A02C2E0" w14:textId="77777777" w:rsidR="004A62A6" w:rsidRPr="006E0DA8" w:rsidRDefault="004A62A6" w:rsidP="004A62A6">
      <w:pPr>
        <w:autoSpaceDE w:val="0"/>
        <w:autoSpaceDN w:val="0"/>
        <w:adjustRightInd w:val="0"/>
        <w:rPr>
          <w:color w:val="000000"/>
          <w:sz w:val="22"/>
          <w:szCs w:val="22"/>
        </w:rPr>
      </w:pPr>
      <w:r w:rsidRPr="006E0DA8">
        <w:rPr>
          <w:color w:val="000000"/>
          <w:sz w:val="22"/>
          <w:szCs w:val="22"/>
        </w:rPr>
        <w:t>De geografiska</w:t>
      </w:r>
      <w:r>
        <w:rPr>
          <w:color w:val="000000"/>
          <w:sz w:val="22"/>
          <w:szCs w:val="22"/>
        </w:rPr>
        <w:t xml:space="preserve"> </w:t>
      </w:r>
      <w:r w:rsidRPr="006E0DA8">
        <w:rPr>
          <w:color w:val="000000"/>
          <w:sz w:val="22"/>
          <w:szCs w:val="22"/>
        </w:rPr>
        <w:t xml:space="preserve">justeringsfaktorerna är felaktiga. Detta är samma faktorer som Boverket tog fram hösten 2013 och som då var avsedda att multipliceras med hela den specifika energianvändningen inklusive tappvarmvatten och fastighetsel. När faktorerna nu ska multipliceras med värmebehovet så måste de räknas om. Utan en ändring av de geografiska justeringsfaktorerna blir det mycket svårare att klara </w:t>
      </w:r>
      <w:r w:rsidR="00D25EB8">
        <w:rPr>
          <w:color w:val="000000"/>
          <w:sz w:val="22"/>
          <w:szCs w:val="22"/>
        </w:rPr>
        <w:t xml:space="preserve">de </w:t>
      </w:r>
      <w:r w:rsidRPr="006E0DA8">
        <w:rPr>
          <w:color w:val="000000"/>
          <w:sz w:val="22"/>
          <w:szCs w:val="22"/>
        </w:rPr>
        <w:t>högsta tillåtna PET-värden</w:t>
      </w:r>
      <w:r w:rsidR="00D25EB8">
        <w:rPr>
          <w:color w:val="000000"/>
          <w:sz w:val="22"/>
          <w:szCs w:val="22"/>
        </w:rPr>
        <w:t>a</w:t>
      </w:r>
      <w:r w:rsidRPr="006E0DA8">
        <w:rPr>
          <w:color w:val="000000"/>
          <w:sz w:val="22"/>
          <w:szCs w:val="22"/>
        </w:rPr>
        <w:t xml:space="preserve"> i norra Sverige jämfört med i södra Sverige. Beräkningar har gjorts där samma fjärrvärmda byggnad med FTX-ventilation flyttats mellan Malmö och Kiruna. För att då med samma byggnad nå samma PET-värde oberoende av placeringsort fås justeringsfaktorer enligt Tabell </w:t>
      </w:r>
      <w:r w:rsidR="0020472E">
        <w:rPr>
          <w:color w:val="000000"/>
          <w:sz w:val="22"/>
          <w:szCs w:val="22"/>
        </w:rPr>
        <w:t>2</w:t>
      </w:r>
      <w:r w:rsidRPr="006E0DA8">
        <w:rPr>
          <w:color w:val="000000"/>
          <w:sz w:val="22"/>
          <w:szCs w:val="22"/>
        </w:rPr>
        <w:t xml:space="preserve">. Boverkets föreslagna geografiska justeringsfaktorer inom parentes. </w:t>
      </w:r>
    </w:p>
    <w:p w14:paraId="16FAE392" w14:textId="77777777" w:rsidR="004A62A6" w:rsidRDefault="004A62A6" w:rsidP="004A62A6">
      <w:pPr>
        <w:rPr>
          <w:rFonts w:ascii="Calibri" w:hAnsi="Calibri" w:cs="Calibri"/>
          <w:color w:val="000000"/>
          <w:sz w:val="22"/>
          <w:szCs w:val="22"/>
        </w:rPr>
      </w:pPr>
    </w:p>
    <w:p w14:paraId="31F90380" w14:textId="77777777" w:rsidR="004A62A6" w:rsidRPr="00D25EB8" w:rsidRDefault="004A62A6" w:rsidP="004A62A6">
      <w:pPr>
        <w:rPr>
          <w:color w:val="000000"/>
          <w:sz w:val="22"/>
          <w:szCs w:val="22"/>
        </w:rPr>
      </w:pPr>
      <w:r w:rsidRPr="00D25EB8">
        <w:rPr>
          <w:color w:val="000000"/>
          <w:sz w:val="22"/>
          <w:szCs w:val="22"/>
        </w:rPr>
        <w:t xml:space="preserve">Tabell </w:t>
      </w:r>
      <w:r w:rsidR="00791181" w:rsidRPr="00D25EB8">
        <w:rPr>
          <w:color w:val="000000"/>
          <w:sz w:val="22"/>
          <w:szCs w:val="22"/>
        </w:rPr>
        <w:t>2</w:t>
      </w:r>
      <w:r w:rsidRPr="00D25EB8">
        <w:rPr>
          <w:color w:val="000000"/>
          <w:sz w:val="22"/>
          <w:szCs w:val="22"/>
        </w:rPr>
        <w:t xml:space="preserve">. Beräknade geografiska justeringsfaktorer för olika orter (Boverkets förslag inom parentes). </w:t>
      </w:r>
      <w:r w:rsidR="00710A7B" w:rsidRPr="00D25EB8">
        <w:rPr>
          <w:color w:val="000000"/>
          <w:sz w:val="22"/>
          <w:szCs w:val="22"/>
        </w:rPr>
        <w:br/>
      </w:r>
    </w:p>
    <w:tbl>
      <w:tblPr>
        <w:tblStyle w:val="Tabellrutnt"/>
        <w:tblW w:w="0" w:type="auto"/>
        <w:tblLook w:val="04A0" w:firstRow="1" w:lastRow="0" w:firstColumn="1" w:lastColumn="0" w:noHBand="0" w:noVBand="1"/>
      </w:tblPr>
      <w:tblGrid>
        <w:gridCol w:w="1549"/>
        <w:gridCol w:w="1549"/>
        <w:gridCol w:w="1550"/>
        <w:gridCol w:w="1550"/>
        <w:gridCol w:w="1550"/>
        <w:gridCol w:w="1550"/>
        <w:gridCol w:w="1550"/>
        <w:gridCol w:w="1550"/>
        <w:gridCol w:w="1550"/>
      </w:tblGrid>
      <w:tr w:rsidR="00025FA9" w14:paraId="1841F3B1" w14:textId="77777777" w:rsidTr="00025FA9">
        <w:tc>
          <w:tcPr>
            <w:tcW w:w="1549" w:type="dxa"/>
          </w:tcPr>
          <w:p w14:paraId="39080677" w14:textId="77777777" w:rsidR="00025FA9" w:rsidRDefault="00025FA9" w:rsidP="00DF1822">
            <w:pPr>
              <w:tabs>
                <w:tab w:val="left" w:pos="5220"/>
              </w:tabs>
            </w:pPr>
            <w:r>
              <w:t>Ort</w:t>
            </w:r>
          </w:p>
        </w:tc>
        <w:tc>
          <w:tcPr>
            <w:tcW w:w="1549" w:type="dxa"/>
          </w:tcPr>
          <w:p w14:paraId="03ECC938" w14:textId="77777777" w:rsidR="00025FA9" w:rsidRDefault="00025FA9" w:rsidP="00DF1822">
            <w:pPr>
              <w:tabs>
                <w:tab w:val="left" w:pos="5220"/>
              </w:tabs>
            </w:pPr>
            <w:r>
              <w:t>Kiruna</w:t>
            </w:r>
          </w:p>
        </w:tc>
        <w:tc>
          <w:tcPr>
            <w:tcW w:w="1550" w:type="dxa"/>
          </w:tcPr>
          <w:p w14:paraId="2DF00F7C" w14:textId="77777777" w:rsidR="00025FA9" w:rsidRDefault="00025FA9" w:rsidP="00DF1822">
            <w:pPr>
              <w:tabs>
                <w:tab w:val="left" w:pos="5220"/>
              </w:tabs>
            </w:pPr>
            <w:r>
              <w:t>Umeå</w:t>
            </w:r>
          </w:p>
        </w:tc>
        <w:tc>
          <w:tcPr>
            <w:tcW w:w="1550" w:type="dxa"/>
          </w:tcPr>
          <w:p w14:paraId="6D8ECCFA" w14:textId="77777777" w:rsidR="00025FA9" w:rsidRDefault="00025FA9" w:rsidP="00DF1822">
            <w:pPr>
              <w:tabs>
                <w:tab w:val="left" w:pos="5220"/>
              </w:tabs>
            </w:pPr>
            <w:r>
              <w:t>Östersund</w:t>
            </w:r>
          </w:p>
        </w:tc>
        <w:tc>
          <w:tcPr>
            <w:tcW w:w="1550" w:type="dxa"/>
          </w:tcPr>
          <w:p w14:paraId="1A5A9739" w14:textId="77777777" w:rsidR="00025FA9" w:rsidRDefault="00025FA9" w:rsidP="00DF1822">
            <w:pPr>
              <w:tabs>
                <w:tab w:val="left" w:pos="5220"/>
              </w:tabs>
            </w:pPr>
            <w:r>
              <w:t>Gävle</w:t>
            </w:r>
          </w:p>
        </w:tc>
        <w:tc>
          <w:tcPr>
            <w:tcW w:w="1550" w:type="dxa"/>
          </w:tcPr>
          <w:p w14:paraId="206817B0" w14:textId="77777777" w:rsidR="00025FA9" w:rsidRDefault="00025FA9" w:rsidP="00DF1822">
            <w:pPr>
              <w:tabs>
                <w:tab w:val="left" w:pos="5220"/>
              </w:tabs>
            </w:pPr>
            <w:r>
              <w:t>Stockholm</w:t>
            </w:r>
          </w:p>
        </w:tc>
        <w:tc>
          <w:tcPr>
            <w:tcW w:w="1550" w:type="dxa"/>
          </w:tcPr>
          <w:p w14:paraId="54617455" w14:textId="77777777" w:rsidR="00025FA9" w:rsidRDefault="00025FA9" w:rsidP="00DF1822">
            <w:pPr>
              <w:tabs>
                <w:tab w:val="left" w:pos="5220"/>
              </w:tabs>
            </w:pPr>
            <w:r>
              <w:t>Karlstad</w:t>
            </w:r>
          </w:p>
        </w:tc>
        <w:tc>
          <w:tcPr>
            <w:tcW w:w="1550" w:type="dxa"/>
          </w:tcPr>
          <w:p w14:paraId="39B8BFF7" w14:textId="77777777" w:rsidR="00025FA9" w:rsidRDefault="00025FA9" w:rsidP="00DF1822">
            <w:pPr>
              <w:tabs>
                <w:tab w:val="left" w:pos="5220"/>
              </w:tabs>
            </w:pPr>
            <w:r>
              <w:t>Göteborg</w:t>
            </w:r>
          </w:p>
        </w:tc>
        <w:tc>
          <w:tcPr>
            <w:tcW w:w="1550" w:type="dxa"/>
          </w:tcPr>
          <w:p w14:paraId="7FA92D76" w14:textId="77777777" w:rsidR="00025FA9" w:rsidRDefault="00025FA9" w:rsidP="00DF1822">
            <w:pPr>
              <w:tabs>
                <w:tab w:val="left" w:pos="5220"/>
              </w:tabs>
            </w:pPr>
            <w:r>
              <w:t>Malmö</w:t>
            </w:r>
          </w:p>
        </w:tc>
      </w:tr>
      <w:tr w:rsidR="00025FA9" w14:paraId="29F78B6E" w14:textId="77777777" w:rsidTr="00025FA9">
        <w:tc>
          <w:tcPr>
            <w:tcW w:w="1549" w:type="dxa"/>
          </w:tcPr>
          <w:p w14:paraId="352E8F77" w14:textId="77777777" w:rsidR="00025FA9" w:rsidRDefault="00025FA9" w:rsidP="00DF1822">
            <w:pPr>
              <w:tabs>
                <w:tab w:val="left" w:pos="5220"/>
              </w:tabs>
            </w:pPr>
            <w:r>
              <w:t>F</w:t>
            </w:r>
            <w:r w:rsidRPr="00710A7B">
              <w:rPr>
                <w:vertAlign w:val="subscript"/>
              </w:rPr>
              <w:t>geo</w:t>
            </w:r>
          </w:p>
        </w:tc>
        <w:tc>
          <w:tcPr>
            <w:tcW w:w="1549" w:type="dxa"/>
          </w:tcPr>
          <w:p w14:paraId="56428A9E" w14:textId="77777777" w:rsidR="00025FA9" w:rsidRDefault="00025FA9" w:rsidP="00DF1822">
            <w:pPr>
              <w:tabs>
                <w:tab w:val="left" w:pos="5220"/>
              </w:tabs>
            </w:pPr>
            <w:r>
              <w:t>1,9 (1,6)</w:t>
            </w:r>
          </w:p>
        </w:tc>
        <w:tc>
          <w:tcPr>
            <w:tcW w:w="1550" w:type="dxa"/>
          </w:tcPr>
          <w:p w14:paraId="51CCA6B0" w14:textId="77777777" w:rsidR="00025FA9" w:rsidRDefault="00025FA9" w:rsidP="00DF1822">
            <w:pPr>
              <w:tabs>
                <w:tab w:val="left" w:pos="5220"/>
              </w:tabs>
            </w:pPr>
            <w:r>
              <w:t>1,3 (1,2)</w:t>
            </w:r>
          </w:p>
        </w:tc>
        <w:tc>
          <w:tcPr>
            <w:tcW w:w="1550" w:type="dxa"/>
          </w:tcPr>
          <w:p w14:paraId="33239F3B" w14:textId="77777777" w:rsidR="00025FA9" w:rsidRDefault="00025FA9" w:rsidP="00DF1822">
            <w:pPr>
              <w:tabs>
                <w:tab w:val="left" w:pos="5220"/>
              </w:tabs>
            </w:pPr>
            <w:r>
              <w:t>1,4 (1,3)</w:t>
            </w:r>
          </w:p>
        </w:tc>
        <w:tc>
          <w:tcPr>
            <w:tcW w:w="1550" w:type="dxa"/>
          </w:tcPr>
          <w:p w14:paraId="78A0667C" w14:textId="77777777" w:rsidR="00025FA9" w:rsidRDefault="00025FA9" w:rsidP="00DF1822">
            <w:pPr>
              <w:tabs>
                <w:tab w:val="left" w:pos="5220"/>
              </w:tabs>
            </w:pPr>
            <w:r>
              <w:t>1,1 (1,1)</w:t>
            </w:r>
          </w:p>
        </w:tc>
        <w:tc>
          <w:tcPr>
            <w:tcW w:w="1550" w:type="dxa"/>
          </w:tcPr>
          <w:p w14:paraId="3C888AE6" w14:textId="77777777" w:rsidR="00025FA9" w:rsidRDefault="00025FA9" w:rsidP="00DF1822">
            <w:pPr>
              <w:tabs>
                <w:tab w:val="left" w:pos="5220"/>
              </w:tabs>
            </w:pPr>
            <w:r>
              <w:t>1,0 (1,0)</w:t>
            </w:r>
          </w:p>
        </w:tc>
        <w:tc>
          <w:tcPr>
            <w:tcW w:w="1550" w:type="dxa"/>
          </w:tcPr>
          <w:p w14:paraId="5D456A1A" w14:textId="77777777" w:rsidR="00025FA9" w:rsidRDefault="00710A7B" w:rsidP="00710A7B">
            <w:pPr>
              <w:tabs>
                <w:tab w:val="left" w:pos="5220"/>
              </w:tabs>
            </w:pPr>
            <w:r>
              <w:t xml:space="preserve">1,1 </w:t>
            </w:r>
            <w:r w:rsidR="00025FA9">
              <w:t>(</w:t>
            </w:r>
            <w:r>
              <w:t>1,0</w:t>
            </w:r>
            <w:r w:rsidR="00025FA9">
              <w:t>)</w:t>
            </w:r>
          </w:p>
        </w:tc>
        <w:tc>
          <w:tcPr>
            <w:tcW w:w="1550" w:type="dxa"/>
          </w:tcPr>
          <w:p w14:paraId="4B044B66" w14:textId="77777777" w:rsidR="00025FA9" w:rsidRDefault="00710A7B" w:rsidP="00DF1822">
            <w:pPr>
              <w:tabs>
                <w:tab w:val="left" w:pos="5220"/>
              </w:tabs>
            </w:pPr>
            <w:r>
              <w:t>0,9 (0,9)</w:t>
            </w:r>
          </w:p>
        </w:tc>
        <w:tc>
          <w:tcPr>
            <w:tcW w:w="1550" w:type="dxa"/>
          </w:tcPr>
          <w:p w14:paraId="7ECD6DBB" w14:textId="77777777" w:rsidR="00025FA9" w:rsidRDefault="00710A7B" w:rsidP="00DF1822">
            <w:pPr>
              <w:tabs>
                <w:tab w:val="left" w:pos="5220"/>
              </w:tabs>
            </w:pPr>
            <w:r>
              <w:t>0,8 (0,9)</w:t>
            </w:r>
          </w:p>
        </w:tc>
      </w:tr>
    </w:tbl>
    <w:p w14:paraId="18ACD567" w14:textId="77777777" w:rsidR="00DF1822" w:rsidRDefault="00DF1822" w:rsidP="00DF1822">
      <w:pPr>
        <w:tabs>
          <w:tab w:val="left" w:pos="5220"/>
        </w:tabs>
      </w:pPr>
    </w:p>
    <w:p w14:paraId="39838D1C" w14:textId="77777777" w:rsidR="001D0E70" w:rsidRDefault="001D0E70" w:rsidP="001D0E70">
      <w:r>
        <w:t>Med ovan föreslagna ändringar i Boverkets förslag avseende PE</w:t>
      </w:r>
      <w:r w:rsidRPr="00584821">
        <w:rPr>
          <w:vertAlign w:val="subscript"/>
        </w:rPr>
        <w:t>el</w:t>
      </w:r>
      <w:r>
        <w:t>, PET</w:t>
      </w:r>
      <w:r w:rsidRPr="00584821">
        <w:rPr>
          <w:vertAlign w:val="subscript"/>
        </w:rPr>
        <w:t>max</w:t>
      </w:r>
      <w:r>
        <w:t>, F</w:t>
      </w:r>
      <w:r w:rsidRPr="00584821">
        <w:rPr>
          <w:vertAlign w:val="subscript"/>
        </w:rPr>
        <w:t>geo</w:t>
      </w:r>
      <w:r>
        <w:t xml:space="preserve"> och areakorrektion går det att bygga småhus i hela landet oavsett storlek och med viss frihet i utformningen</w:t>
      </w:r>
      <w:r w:rsidRPr="00DF1822">
        <w:t>.</w:t>
      </w:r>
      <w:r>
        <w:t xml:space="preserve"> Detta under följande förutsättningar, </w:t>
      </w:r>
      <w:r w:rsidR="0020472E">
        <w:t>förbättrade uppvärmnings- och ventilationssystem</w:t>
      </w:r>
      <w:r w:rsidRPr="00DF1822">
        <w:t>, mycket god lufttäthet (</w:t>
      </w:r>
      <w:r>
        <w:t xml:space="preserve">≤ </w:t>
      </w:r>
      <w:r w:rsidRPr="00DF1822">
        <w:t>0,3</w:t>
      </w:r>
      <w:r>
        <w:t xml:space="preserve"> l/sm</w:t>
      </w:r>
      <w:r w:rsidRPr="00791181">
        <w:rPr>
          <w:vertAlign w:val="superscript"/>
        </w:rPr>
        <w:t>2</w:t>
      </w:r>
      <w:r w:rsidRPr="00DF1822">
        <w:t>) och förbättrat klimatskal</w:t>
      </w:r>
      <w:r w:rsidR="00E1496C">
        <w:t>.</w:t>
      </w:r>
      <w:r w:rsidRPr="00DF1822">
        <w:t xml:space="preserve"> </w:t>
      </w:r>
    </w:p>
    <w:p w14:paraId="06C949F6" w14:textId="77777777" w:rsidR="001D0E70" w:rsidRDefault="001D0E70" w:rsidP="001D0E70"/>
    <w:p w14:paraId="73270D39" w14:textId="77777777" w:rsidR="001D0E70" w:rsidRDefault="001D0E70" w:rsidP="00DF1822">
      <w:pPr>
        <w:tabs>
          <w:tab w:val="left" w:pos="5220"/>
        </w:tabs>
      </w:pPr>
    </w:p>
    <w:p w14:paraId="3C334003" w14:textId="77777777" w:rsidR="00025FA9" w:rsidRDefault="00025FA9" w:rsidP="00DF1822">
      <w:pPr>
        <w:tabs>
          <w:tab w:val="left" w:pos="5220"/>
        </w:tabs>
      </w:pPr>
    </w:p>
    <w:p w14:paraId="152B9A1F" w14:textId="77777777" w:rsidR="00DF1822" w:rsidRPr="00DF1822" w:rsidRDefault="00DF1822" w:rsidP="00DF1822">
      <w:pPr>
        <w:tabs>
          <w:tab w:val="left" w:pos="5220"/>
        </w:tabs>
        <w:rPr>
          <w:b/>
        </w:rPr>
      </w:pPr>
      <w:r w:rsidRPr="00DF1822">
        <w:rPr>
          <w:b/>
        </w:rPr>
        <w:t>Beräkningsexempel</w:t>
      </w:r>
    </w:p>
    <w:p w14:paraId="44C4415F" w14:textId="77777777" w:rsidR="00DF1822" w:rsidRDefault="00DF1822" w:rsidP="00DF1822">
      <w:pPr>
        <w:tabs>
          <w:tab w:val="left" w:pos="5220"/>
        </w:tabs>
      </w:pPr>
      <w:r>
        <w:t xml:space="preserve">TMF har låtit SP/RISE genomföra energiberäkningar enligt BEN 2 och BBR B för två olika hustyper på åtta olika platser i landet med de </w:t>
      </w:r>
      <w:r w:rsidR="00D25EB8">
        <w:t xml:space="preserve">av Boverket </w:t>
      </w:r>
      <w:r>
        <w:t xml:space="preserve">föreslagna </w:t>
      </w:r>
      <w:r w:rsidR="00D25EB8">
        <w:t>PET</w:t>
      </w:r>
      <w:r w:rsidR="00D25EB8" w:rsidRPr="00D25EB8">
        <w:rPr>
          <w:vertAlign w:val="subscript"/>
        </w:rPr>
        <w:t>max</w:t>
      </w:r>
      <w:r w:rsidR="00D25EB8">
        <w:t xml:space="preserve">, PE och </w:t>
      </w:r>
      <w:r>
        <w:t xml:space="preserve">geografiska justeringsfaktorer. Beräkningarna har utförts </w:t>
      </w:r>
      <w:r w:rsidR="00D25EB8">
        <w:t>för</w:t>
      </w:r>
      <w:r>
        <w:t xml:space="preserve"> två hustyperna i standardutförande (en- och 1</w:t>
      </w:r>
      <w:r w:rsidR="00D25EB8">
        <w:t>-</w:t>
      </w:r>
      <w:r>
        <w:t xml:space="preserve">1/2 plan) som de byggs </w:t>
      </w:r>
      <w:r w:rsidR="00D25EB8">
        <w:t>enligt dagens energikrav</w:t>
      </w:r>
      <w:r>
        <w:t xml:space="preserve"> samt för ytterligare tre förbättrade nivåer. Steg 1 innebär förbättrad lufttäthet, steg 2 innebär dessutom bättre fönster (U-värde 0,8 W/m</w:t>
      </w:r>
      <w:r w:rsidRPr="00710A7B">
        <w:rPr>
          <w:vertAlign w:val="superscript"/>
        </w:rPr>
        <w:t>2</w:t>
      </w:r>
      <w:r>
        <w:t xml:space="preserve">K) och Minienergi innebär att hela klimatskalet utförs </w:t>
      </w:r>
      <w:r w:rsidR="0020472E">
        <w:t>nästan i</w:t>
      </w:r>
      <w:r>
        <w:t xml:space="preserve"> nivå med passivhus. Tabell </w:t>
      </w:r>
      <w:r w:rsidR="00D25EB8">
        <w:t>3</w:t>
      </w:r>
      <w:r>
        <w:t xml:space="preserve"> nedan visar hur de skärpta kraven till 2021 slår på ett enplanshus i vinkel på 150 m</w:t>
      </w:r>
      <w:r w:rsidRPr="00710A7B">
        <w:rPr>
          <w:vertAlign w:val="superscript"/>
        </w:rPr>
        <w:t>2</w:t>
      </w:r>
      <w:r>
        <w:t xml:space="preserve">. Det kan klart konstateras att det krävs ett klimatskal </w:t>
      </w:r>
      <w:r w:rsidR="0020472E">
        <w:t>nästan i</w:t>
      </w:r>
      <w:r>
        <w:t xml:space="preserve"> nivå med passivhus </w:t>
      </w:r>
      <w:r w:rsidR="0020472E">
        <w:t>och/eller betydligt energieffektivare uppvärmningssystem för at</w:t>
      </w:r>
      <w:r>
        <w:t>t klara kraven. Dock klaras inte kraven i överhuvudtaget i nordligaste Sverige. Kraven skulle kunna klaras betydligt bättre med en bergvärmepump och FTX dock till en betydligt högre kostnad än vad som beskrivs i konsekvensanalysen (2-4 %). För exemplet med enplanshus i vinkel på 150 m</w:t>
      </w:r>
      <w:r w:rsidRPr="00710A7B">
        <w:rPr>
          <w:vertAlign w:val="superscript"/>
        </w:rPr>
        <w:t xml:space="preserve">2 </w:t>
      </w:r>
      <w:r>
        <w:t xml:space="preserve">skulle merkostnaden bli 10 – 15 % för att klara kraven enligt BBR B. Det är dock inte möjligt att använda bergvärme i hela Sverige vilket ytterligare försvårar. </w:t>
      </w:r>
    </w:p>
    <w:p w14:paraId="380CB680" w14:textId="77777777" w:rsidR="00DF1822" w:rsidRDefault="00DF1822" w:rsidP="00DF1822">
      <w:pPr>
        <w:tabs>
          <w:tab w:val="left" w:pos="5220"/>
        </w:tabs>
      </w:pPr>
    </w:p>
    <w:p w14:paraId="5AC20FEF" w14:textId="77777777" w:rsidR="00DF1822" w:rsidRDefault="00DF1822" w:rsidP="00DF1822">
      <w:pPr>
        <w:tabs>
          <w:tab w:val="left" w:pos="5220"/>
        </w:tabs>
      </w:pPr>
      <w:r>
        <w:lastRenderedPageBreak/>
        <w:t xml:space="preserve">I Tabell </w:t>
      </w:r>
      <w:r w:rsidR="00AF65C4">
        <w:t>3</w:t>
      </w:r>
      <w:r>
        <w:t xml:space="preserve">b nedan har likadana beräkningar genomförts för ett 1-1/2 planshus vilket klarar sig betydligt bättre. I detta fall skulle det kunna räcka med bättre lufttäthet, mindre justeringar i klimatskalet och bättre fönster och dörrar, och här stämmer de merkostnader på 2 – 4 % som beskrivs i konsekvensanalysen till BBR B. Dock klaras fortfarande inte kraven i nordligaste delen av landet, detta på grund av den felaktiga geografiska justeringsfaktorn. </w:t>
      </w:r>
    </w:p>
    <w:p w14:paraId="61EA2FF2" w14:textId="77777777" w:rsidR="00DF1822" w:rsidRDefault="00DF1822" w:rsidP="00DF1822">
      <w:pPr>
        <w:tabs>
          <w:tab w:val="left" w:pos="5220"/>
        </w:tabs>
      </w:pPr>
    </w:p>
    <w:p w14:paraId="703E34DF" w14:textId="77777777" w:rsidR="005B623C" w:rsidRDefault="005B623C" w:rsidP="001D0E70">
      <w:pPr>
        <w:tabs>
          <w:tab w:val="left" w:pos="5220"/>
        </w:tabs>
      </w:pPr>
      <w:r>
        <w:t>Tabell 3. Beräkningar enligt Boverkets förslag BBR (B) 2021 för ett enplanshus i vinkel på 150 m</w:t>
      </w:r>
      <w:r w:rsidRPr="005B623C">
        <w:rPr>
          <w:vertAlign w:val="superscript"/>
        </w:rPr>
        <w:t>2</w:t>
      </w:r>
      <w:r w:rsidR="001D0E70">
        <w:rPr>
          <w:vertAlign w:val="superscript"/>
        </w:rPr>
        <w:t xml:space="preserve"> , </w:t>
      </w:r>
      <w:r w:rsidR="001D0E70">
        <w:t>Steg 1 innebär förbättrad lufttäthet, steg 2 innebär dessutom bättre fönster (U-värde 0,8 W/m</w:t>
      </w:r>
      <w:r w:rsidR="001D0E70" w:rsidRPr="00710A7B">
        <w:rPr>
          <w:vertAlign w:val="superscript"/>
        </w:rPr>
        <w:t>2</w:t>
      </w:r>
      <w:r w:rsidR="001D0E70">
        <w:t>K) och Minienergi innebär att hela klimatskalet utförs nästan i nivå med passivhus.</w:t>
      </w:r>
    </w:p>
    <w:p w14:paraId="1D7F46AD" w14:textId="77777777" w:rsidR="009C5608" w:rsidRPr="00DF1822" w:rsidRDefault="009C5608" w:rsidP="009C5608">
      <w:pPr>
        <w:tabs>
          <w:tab w:val="left" w:pos="5220"/>
        </w:tabs>
      </w:pPr>
      <w:r>
        <w:t>Siffrorna i rött överskrider Boverkets föreslagna kravnivå och gröna siffror klarar kravet.</w:t>
      </w:r>
    </w:p>
    <w:p w14:paraId="36C71179" w14:textId="77777777" w:rsidR="00DF1822" w:rsidRDefault="00DF1822" w:rsidP="00DF1822">
      <w:pPr>
        <w:tabs>
          <w:tab w:val="left" w:pos="5220"/>
        </w:tabs>
      </w:pPr>
    </w:p>
    <w:p w14:paraId="0DF61265" w14:textId="77777777" w:rsidR="004A62A6" w:rsidRDefault="00DF1822">
      <w:pPr>
        <w:tabs>
          <w:tab w:val="left" w:pos="5220"/>
        </w:tabs>
      </w:pPr>
      <w:r>
        <w:rPr>
          <w:noProof/>
        </w:rPr>
        <w:drawing>
          <wp:inline distT="0" distB="0" distL="0" distR="0" wp14:anchorId="4B5D048F" wp14:editId="4A84C47B">
            <wp:extent cx="8742680" cy="1957288"/>
            <wp:effectExtent l="0" t="0" r="1270" b="508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8017"/>
                    <a:stretch/>
                  </pic:blipFill>
                  <pic:spPr bwMode="auto">
                    <a:xfrm>
                      <a:off x="0" y="0"/>
                      <a:ext cx="8742680" cy="1957288"/>
                    </a:xfrm>
                    <a:prstGeom prst="rect">
                      <a:avLst/>
                    </a:prstGeom>
                    <a:noFill/>
                    <a:ln>
                      <a:noFill/>
                    </a:ln>
                    <a:extLst>
                      <a:ext uri="{53640926-AAD7-44D8-BBD7-CCE9431645EC}">
                        <a14:shadowObscured xmlns:a14="http://schemas.microsoft.com/office/drawing/2010/main"/>
                      </a:ext>
                    </a:extLst>
                  </pic:spPr>
                </pic:pic>
              </a:graphicData>
            </a:graphic>
          </wp:inline>
        </w:drawing>
      </w:r>
    </w:p>
    <w:p w14:paraId="342C7273" w14:textId="77777777" w:rsidR="00AF65C4" w:rsidRDefault="00AF65C4">
      <w:pPr>
        <w:tabs>
          <w:tab w:val="left" w:pos="5220"/>
        </w:tabs>
      </w:pPr>
    </w:p>
    <w:p w14:paraId="282F83BD" w14:textId="77777777" w:rsidR="00AF65C4" w:rsidRDefault="00AF65C4">
      <w:pPr>
        <w:tabs>
          <w:tab w:val="left" w:pos="5220"/>
        </w:tabs>
      </w:pPr>
    </w:p>
    <w:p w14:paraId="41DDBAF5" w14:textId="77777777" w:rsidR="00AF65C4" w:rsidRDefault="00AF65C4">
      <w:pPr>
        <w:tabs>
          <w:tab w:val="left" w:pos="5220"/>
        </w:tabs>
      </w:pPr>
    </w:p>
    <w:p w14:paraId="725A25EA" w14:textId="77777777" w:rsidR="00AF65C4" w:rsidRDefault="00AF65C4">
      <w:pPr>
        <w:tabs>
          <w:tab w:val="left" w:pos="5220"/>
        </w:tabs>
      </w:pPr>
    </w:p>
    <w:p w14:paraId="076D64D8" w14:textId="77777777" w:rsidR="00AF65C4" w:rsidRDefault="00AF65C4">
      <w:pPr>
        <w:tabs>
          <w:tab w:val="left" w:pos="5220"/>
        </w:tabs>
      </w:pPr>
    </w:p>
    <w:p w14:paraId="0AC25610" w14:textId="77777777" w:rsidR="00AF65C4" w:rsidRDefault="00AF65C4">
      <w:r>
        <w:br w:type="page"/>
      </w:r>
    </w:p>
    <w:p w14:paraId="5C6C6200" w14:textId="77777777" w:rsidR="00AF65C4" w:rsidRPr="00DF1822" w:rsidRDefault="00AF65C4" w:rsidP="00AF65C4">
      <w:pPr>
        <w:tabs>
          <w:tab w:val="left" w:pos="5220"/>
        </w:tabs>
      </w:pPr>
      <w:r>
        <w:lastRenderedPageBreak/>
        <w:t>Tabell 3b. Beräkningar enligt Boverkets förslag BBR (B) 2021 för ett 11/2-plans hus på 150 m</w:t>
      </w:r>
      <w:r w:rsidRPr="005B623C">
        <w:rPr>
          <w:vertAlign w:val="superscript"/>
        </w:rPr>
        <w:t>2</w:t>
      </w:r>
      <w:r>
        <w:rPr>
          <w:vertAlign w:val="superscript"/>
        </w:rPr>
        <w:t xml:space="preserve"> , </w:t>
      </w:r>
      <w:r>
        <w:t>Steg 1 innebär förbättrad lufttäthet, steg 2 innebär dessutom bättre fönster (U-värde 0,8 W/m</w:t>
      </w:r>
      <w:r w:rsidRPr="00710A7B">
        <w:rPr>
          <w:vertAlign w:val="superscript"/>
        </w:rPr>
        <w:t>2</w:t>
      </w:r>
      <w:r>
        <w:t>K) och Minienergi innebär att hela klimatskalet utförs nästan i nivå med passivhus.</w:t>
      </w:r>
      <w:r w:rsidR="009C5608">
        <w:t xml:space="preserve"> Siffrorna i rött överskrider Boverkets föreslagna kravnivå och gröna siffror klarar kravet.</w:t>
      </w:r>
    </w:p>
    <w:p w14:paraId="44F89110" w14:textId="77777777" w:rsidR="00DF1822" w:rsidRPr="00846416" w:rsidRDefault="009C5608">
      <w:pPr>
        <w:tabs>
          <w:tab w:val="left" w:pos="5220"/>
        </w:tabs>
      </w:pPr>
      <w:r>
        <w:rPr>
          <w:noProof/>
        </w:rPr>
        <w:drawing>
          <wp:anchor distT="0" distB="0" distL="114300" distR="114300" simplePos="0" relativeHeight="251664896" behindDoc="0" locked="0" layoutInCell="1" allowOverlap="1" wp14:anchorId="6272770D" wp14:editId="5C4E1BCA">
            <wp:simplePos x="0" y="0"/>
            <wp:positionH relativeFrom="margin">
              <wp:align>left</wp:align>
            </wp:positionH>
            <wp:positionV relativeFrom="paragraph">
              <wp:posOffset>202928</wp:posOffset>
            </wp:positionV>
            <wp:extent cx="8705850" cy="1976120"/>
            <wp:effectExtent l="0" t="0" r="0" b="5080"/>
            <wp:wrapTopAndBottom/>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7356"/>
                    <a:stretch/>
                  </pic:blipFill>
                  <pic:spPr bwMode="auto">
                    <a:xfrm>
                      <a:off x="0" y="0"/>
                      <a:ext cx="8705850" cy="1976120"/>
                    </a:xfrm>
                    <a:prstGeom prst="rect">
                      <a:avLst/>
                    </a:prstGeom>
                    <a:noFill/>
                    <a:ln>
                      <a:noFill/>
                    </a:ln>
                    <a:extLst>
                      <a:ext uri="{53640926-AAD7-44D8-BBD7-CCE9431645EC}">
                        <a14:shadowObscured xmlns:a14="http://schemas.microsoft.com/office/drawing/2010/main"/>
                      </a:ext>
                    </a:extLst>
                  </pic:spPr>
                </pic:pic>
              </a:graphicData>
            </a:graphic>
          </wp:anchor>
        </w:drawing>
      </w:r>
    </w:p>
    <w:sectPr w:rsidR="00DF1822" w:rsidRPr="00846416">
      <w:headerReference w:type="even" r:id="rId11"/>
      <w:headerReference w:type="default" r:id="rId12"/>
      <w:footerReference w:type="default" r:id="rId13"/>
      <w:headerReference w:type="first" r:id="rId1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F19BA" w14:textId="77777777" w:rsidR="004C6F3F" w:rsidRDefault="004C6F3F" w:rsidP="00AC73ED">
      <w:r>
        <w:separator/>
      </w:r>
    </w:p>
  </w:endnote>
  <w:endnote w:type="continuationSeparator" w:id="0">
    <w:p w14:paraId="28BB8D42" w14:textId="77777777" w:rsidR="004C6F3F" w:rsidRDefault="004C6F3F" w:rsidP="00A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2436B" w14:textId="77777777" w:rsidR="005849FC" w:rsidRPr="005849FC" w:rsidRDefault="005849FC">
    <w:pPr>
      <w:pStyle w:val="Sidfot"/>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DAC38" w14:textId="77777777" w:rsidR="004C6F3F" w:rsidRDefault="004C6F3F" w:rsidP="00AC73ED">
      <w:r>
        <w:separator/>
      </w:r>
    </w:p>
  </w:footnote>
  <w:footnote w:type="continuationSeparator" w:id="0">
    <w:p w14:paraId="7742E9F9" w14:textId="77777777" w:rsidR="004C6F3F" w:rsidRDefault="004C6F3F" w:rsidP="00AC73ED">
      <w:r>
        <w:continuationSeparator/>
      </w:r>
    </w:p>
  </w:footnote>
  <w:footnote w:id="1">
    <w:p w14:paraId="7068F885" w14:textId="77777777" w:rsidR="00D568F5" w:rsidRPr="00D568F5" w:rsidRDefault="00D568F5">
      <w:pPr>
        <w:pStyle w:val="Fotnotstext"/>
        <w:rPr>
          <w:lang w:val="en-US"/>
        </w:rPr>
      </w:pPr>
      <w:r>
        <w:rPr>
          <w:rStyle w:val="Fotnotsreferens"/>
        </w:rPr>
        <w:footnoteRef/>
      </w:r>
      <w:r w:rsidRPr="00D568F5">
        <w:rPr>
          <w:lang w:val="en-US"/>
        </w:rPr>
        <w:t xml:space="preserve"> A. Esser, F. Senfuss. 2016. Final</w:t>
      </w:r>
      <w:r w:rsidR="00670717">
        <w:rPr>
          <w:lang w:val="en-US"/>
        </w:rPr>
        <w:t xml:space="preserve"> report - </w:t>
      </w:r>
      <w:r w:rsidRPr="00D568F5">
        <w:rPr>
          <w:lang w:val="en-US"/>
        </w:rPr>
        <w:t>Evaluation of primary</w:t>
      </w:r>
      <w:r w:rsidR="00670717">
        <w:rPr>
          <w:lang w:val="en-US"/>
        </w:rPr>
        <w:t xml:space="preserve"> energy factor calculation options for electricity.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72E59" w14:textId="77777777" w:rsidR="004F23EA" w:rsidRDefault="004F23EA">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A5745" w14:textId="77777777" w:rsidR="005849FC" w:rsidRDefault="005849FC" w:rsidP="005849FC">
    <w:pPr>
      <w:pStyle w:val="Sidhuvud"/>
      <w:jc w:val="right"/>
    </w:pPr>
    <w:r w:rsidRPr="00252C48">
      <w:fldChar w:fldCharType="begin"/>
    </w:r>
    <w:r w:rsidRPr="00252C48">
      <w:instrText xml:space="preserve"> PAGE </w:instrText>
    </w:r>
    <w:r w:rsidRPr="00252C48">
      <w:fldChar w:fldCharType="separate"/>
    </w:r>
    <w:r w:rsidR="006D6521">
      <w:rPr>
        <w:noProof/>
      </w:rPr>
      <w:t>1</w:t>
    </w:r>
    <w:r w:rsidRPr="00252C48">
      <w:fldChar w:fldCharType="end"/>
    </w:r>
    <w:r w:rsidRPr="00252C48">
      <w:t>(</w:t>
    </w:r>
    <w:fldSimple w:instr=" NUMPAGES ">
      <w:r w:rsidR="006D6521">
        <w:rPr>
          <w:noProof/>
        </w:rPr>
        <w:t>7</w:t>
      </w:r>
    </w:fldSimple>
    <w:r w:rsidRPr="00252C48">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C74CC" w14:textId="77777777" w:rsidR="004F23EA" w:rsidRDefault="004F23EA">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27C7F"/>
    <w:multiLevelType w:val="hybridMultilevel"/>
    <w:tmpl w:val="E7320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EB"/>
    <w:rsid w:val="00006B6D"/>
    <w:rsid w:val="00025AE9"/>
    <w:rsid w:val="00025FA9"/>
    <w:rsid w:val="00036BE2"/>
    <w:rsid w:val="000D76C3"/>
    <w:rsid w:val="000F351C"/>
    <w:rsid w:val="001068B1"/>
    <w:rsid w:val="001143B4"/>
    <w:rsid w:val="001866E3"/>
    <w:rsid w:val="001968CF"/>
    <w:rsid w:val="001A5217"/>
    <w:rsid w:val="001C59A9"/>
    <w:rsid w:val="001D0E70"/>
    <w:rsid w:val="001D2136"/>
    <w:rsid w:val="0020472E"/>
    <w:rsid w:val="00260CF1"/>
    <w:rsid w:val="002618C3"/>
    <w:rsid w:val="00263E1A"/>
    <w:rsid w:val="002713E4"/>
    <w:rsid w:val="002A1C39"/>
    <w:rsid w:val="002D5C82"/>
    <w:rsid w:val="002E2222"/>
    <w:rsid w:val="00311D0A"/>
    <w:rsid w:val="0035302E"/>
    <w:rsid w:val="00364A6A"/>
    <w:rsid w:val="003762DE"/>
    <w:rsid w:val="003B1555"/>
    <w:rsid w:val="003C6131"/>
    <w:rsid w:val="003E109B"/>
    <w:rsid w:val="00404DB9"/>
    <w:rsid w:val="0041259E"/>
    <w:rsid w:val="00417E60"/>
    <w:rsid w:val="004A3654"/>
    <w:rsid w:val="004A62A6"/>
    <w:rsid w:val="004A72DC"/>
    <w:rsid w:val="004C6F3F"/>
    <w:rsid w:val="004D75C2"/>
    <w:rsid w:val="004F23EA"/>
    <w:rsid w:val="005177C1"/>
    <w:rsid w:val="00524E56"/>
    <w:rsid w:val="0055749C"/>
    <w:rsid w:val="00584821"/>
    <w:rsid w:val="005849FC"/>
    <w:rsid w:val="0059527D"/>
    <w:rsid w:val="005B623C"/>
    <w:rsid w:val="00600006"/>
    <w:rsid w:val="00621A2C"/>
    <w:rsid w:val="00670717"/>
    <w:rsid w:val="006A537D"/>
    <w:rsid w:val="006D175F"/>
    <w:rsid w:val="006D6521"/>
    <w:rsid w:val="006E0DA8"/>
    <w:rsid w:val="006F090F"/>
    <w:rsid w:val="00710A7B"/>
    <w:rsid w:val="007113B8"/>
    <w:rsid w:val="00717634"/>
    <w:rsid w:val="00791181"/>
    <w:rsid w:val="007B788E"/>
    <w:rsid w:val="007C18F0"/>
    <w:rsid w:val="007C3EBF"/>
    <w:rsid w:val="007F54AE"/>
    <w:rsid w:val="00846416"/>
    <w:rsid w:val="0085524C"/>
    <w:rsid w:val="00855A9F"/>
    <w:rsid w:val="008B21D0"/>
    <w:rsid w:val="008B76EB"/>
    <w:rsid w:val="008F4074"/>
    <w:rsid w:val="008F5F88"/>
    <w:rsid w:val="0090211D"/>
    <w:rsid w:val="0092606D"/>
    <w:rsid w:val="009725C2"/>
    <w:rsid w:val="009A7DBE"/>
    <w:rsid w:val="009C5608"/>
    <w:rsid w:val="00A66192"/>
    <w:rsid w:val="00A76372"/>
    <w:rsid w:val="00AB17BB"/>
    <w:rsid w:val="00AC73ED"/>
    <w:rsid w:val="00AD62A2"/>
    <w:rsid w:val="00AF65C4"/>
    <w:rsid w:val="00B070AE"/>
    <w:rsid w:val="00B071EA"/>
    <w:rsid w:val="00B60925"/>
    <w:rsid w:val="00BD4349"/>
    <w:rsid w:val="00BD4C07"/>
    <w:rsid w:val="00BF3CE8"/>
    <w:rsid w:val="00C5337F"/>
    <w:rsid w:val="00C6670F"/>
    <w:rsid w:val="00C97406"/>
    <w:rsid w:val="00CC4624"/>
    <w:rsid w:val="00D25EB8"/>
    <w:rsid w:val="00D42F9B"/>
    <w:rsid w:val="00D568F5"/>
    <w:rsid w:val="00D879A6"/>
    <w:rsid w:val="00DA37DE"/>
    <w:rsid w:val="00DE55D7"/>
    <w:rsid w:val="00DF1822"/>
    <w:rsid w:val="00E1496C"/>
    <w:rsid w:val="00E14EA7"/>
    <w:rsid w:val="00E6141C"/>
    <w:rsid w:val="00E67184"/>
    <w:rsid w:val="00E730B2"/>
    <w:rsid w:val="00E74425"/>
    <w:rsid w:val="00E76E04"/>
    <w:rsid w:val="00E9528D"/>
    <w:rsid w:val="00EB1742"/>
    <w:rsid w:val="00EB756F"/>
    <w:rsid w:val="00ED47F8"/>
    <w:rsid w:val="00F21F80"/>
    <w:rsid w:val="00F334C7"/>
    <w:rsid w:val="00F64AE2"/>
    <w:rsid w:val="00F8642C"/>
    <w:rsid w:val="00FD7D62"/>
    <w:rsid w:val="00FF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87E11"/>
  <w15:docId w15:val="{24A326C5-27AB-47C5-BE08-F2029C4E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utanluft">
    <w:name w:val="Rubrik 1 utan luft"/>
    <w:basedOn w:val="Rubrik1"/>
    <w:autoRedefine/>
    <w:pPr>
      <w:spacing w:before="440" w:after="200"/>
      <w:ind w:left="2608"/>
      <w:outlineLvl w:val="9"/>
    </w:pPr>
    <w:rPr>
      <w:rFonts w:cs="Times New Roman"/>
      <w:b w:val="0"/>
      <w:bCs w:val="0"/>
      <w:kern w:val="28"/>
      <w:sz w:val="44"/>
      <w:szCs w:val="20"/>
    </w:rPr>
  </w:style>
  <w:style w:type="paragraph" w:styleId="Innehll1">
    <w:name w:val="toc 1"/>
    <w:basedOn w:val="Normal"/>
    <w:next w:val="Normal"/>
    <w:autoRedefine/>
    <w:semiHidden/>
    <w:pPr>
      <w:tabs>
        <w:tab w:val="right" w:leader="dot" w:pos="9072"/>
      </w:tabs>
      <w:spacing w:before="100" w:line="320" w:lineRule="exact"/>
      <w:ind w:left="2608"/>
    </w:pPr>
    <w:rPr>
      <w:rFonts w:ascii="Arial" w:hAnsi="Arial"/>
      <w:noProof/>
      <w:color w:val="000000"/>
      <w:sz w:val="28"/>
      <w:szCs w:val="20"/>
    </w:rPr>
  </w:style>
  <w:style w:type="character" w:styleId="Hyperlnk">
    <w:name w:val="Hyperlink"/>
    <w:rPr>
      <w:color w:val="0000FF"/>
      <w:u w:val="single"/>
    </w:rPr>
  </w:style>
  <w:style w:type="table" w:styleId="Tabellrutnt">
    <w:name w:val="Table Grid"/>
    <w:basedOn w:val="Normaltabel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rsid w:val="00AC73ED"/>
    <w:pPr>
      <w:tabs>
        <w:tab w:val="center" w:pos="4536"/>
        <w:tab w:val="right" w:pos="9072"/>
      </w:tabs>
    </w:pPr>
  </w:style>
  <w:style w:type="character" w:customStyle="1" w:styleId="SidhuvudChar">
    <w:name w:val="Sidhuvud Char"/>
    <w:basedOn w:val="Standardstycketeckensnitt"/>
    <w:link w:val="Sidhuvud"/>
    <w:rsid w:val="00AC73ED"/>
    <w:rPr>
      <w:sz w:val="24"/>
      <w:szCs w:val="24"/>
    </w:rPr>
  </w:style>
  <w:style w:type="paragraph" w:styleId="Sidfot">
    <w:name w:val="footer"/>
    <w:basedOn w:val="Normal"/>
    <w:link w:val="SidfotChar"/>
    <w:uiPriority w:val="99"/>
    <w:rsid w:val="00AC73ED"/>
    <w:pPr>
      <w:tabs>
        <w:tab w:val="center" w:pos="4536"/>
        <w:tab w:val="right" w:pos="9072"/>
      </w:tabs>
    </w:pPr>
  </w:style>
  <w:style w:type="character" w:customStyle="1" w:styleId="SidfotChar">
    <w:name w:val="Sidfot Char"/>
    <w:basedOn w:val="Standardstycketeckensnitt"/>
    <w:link w:val="Sidfot"/>
    <w:uiPriority w:val="99"/>
    <w:rsid w:val="00AC73ED"/>
    <w:rPr>
      <w:sz w:val="24"/>
      <w:szCs w:val="24"/>
    </w:rPr>
  </w:style>
  <w:style w:type="paragraph" w:styleId="Ballongtext">
    <w:name w:val="Balloon Text"/>
    <w:basedOn w:val="Normal"/>
    <w:link w:val="BallongtextChar"/>
    <w:rsid w:val="00AC73ED"/>
    <w:rPr>
      <w:rFonts w:ascii="Tahoma" w:hAnsi="Tahoma" w:cs="Tahoma"/>
      <w:sz w:val="16"/>
      <w:szCs w:val="16"/>
    </w:rPr>
  </w:style>
  <w:style w:type="character" w:customStyle="1" w:styleId="BallongtextChar">
    <w:name w:val="Ballongtext Char"/>
    <w:basedOn w:val="Standardstycketeckensnitt"/>
    <w:link w:val="Ballongtext"/>
    <w:rsid w:val="00AC73ED"/>
    <w:rPr>
      <w:rFonts w:ascii="Tahoma" w:hAnsi="Tahoma" w:cs="Tahoma"/>
      <w:sz w:val="16"/>
      <w:szCs w:val="16"/>
    </w:rPr>
  </w:style>
  <w:style w:type="character" w:styleId="Stark">
    <w:name w:val="Strong"/>
    <w:basedOn w:val="Standardstycketeckensnitt"/>
    <w:qFormat/>
    <w:rsid w:val="003B1555"/>
    <w:rPr>
      <w:b/>
      <w:bCs/>
    </w:rPr>
  </w:style>
  <w:style w:type="paragraph" w:customStyle="1" w:styleId="Boverket-Adress-3">
    <w:name w:val="Boverket-Adress-3"/>
    <w:basedOn w:val="Normal"/>
    <w:next w:val="Normal"/>
    <w:semiHidden/>
    <w:rsid w:val="005849FC"/>
    <w:pPr>
      <w:tabs>
        <w:tab w:val="left" w:pos="5041"/>
      </w:tabs>
      <w:spacing w:line="240" w:lineRule="exact"/>
      <w:ind w:right="-1701"/>
      <w:jc w:val="center"/>
    </w:pPr>
    <w:rPr>
      <w:rFonts w:ascii="Arial" w:hAnsi="Arial"/>
      <w:sz w:val="19"/>
    </w:rPr>
  </w:style>
  <w:style w:type="paragraph" w:customStyle="1" w:styleId="Boverket-Adress-2">
    <w:name w:val="Boverket-Adress-2"/>
    <w:basedOn w:val="Normal"/>
    <w:next w:val="Boverket-Adress-3"/>
    <w:semiHidden/>
    <w:rsid w:val="005849FC"/>
    <w:pPr>
      <w:tabs>
        <w:tab w:val="left" w:pos="5041"/>
      </w:tabs>
      <w:spacing w:line="240" w:lineRule="exact"/>
      <w:ind w:right="-1701"/>
      <w:jc w:val="center"/>
    </w:pPr>
    <w:rPr>
      <w:rFonts w:ascii="Arial" w:hAnsi="Arial"/>
      <w:sz w:val="19"/>
    </w:rPr>
  </w:style>
  <w:style w:type="paragraph" w:customStyle="1" w:styleId="Default">
    <w:name w:val="Default"/>
    <w:rsid w:val="00364A6A"/>
    <w:pPr>
      <w:autoSpaceDE w:val="0"/>
      <w:autoSpaceDN w:val="0"/>
      <w:adjustRightInd w:val="0"/>
    </w:pPr>
    <w:rPr>
      <w:rFonts w:ascii="Frutiger 45 Light" w:hAnsi="Frutiger 45 Light" w:cs="Frutiger 45 Light"/>
      <w:color w:val="000000"/>
      <w:sz w:val="24"/>
      <w:szCs w:val="24"/>
    </w:rPr>
  </w:style>
  <w:style w:type="character" w:styleId="Kommentarsreferens">
    <w:name w:val="annotation reference"/>
    <w:basedOn w:val="Standardstycketeckensnitt"/>
    <w:semiHidden/>
    <w:unhideWhenUsed/>
    <w:rsid w:val="00B071EA"/>
    <w:rPr>
      <w:sz w:val="16"/>
      <w:szCs w:val="16"/>
    </w:rPr>
  </w:style>
  <w:style w:type="paragraph" w:styleId="Kommentarer">
    <w:name w:val="annotation text"/>
    <w:basedOn w:val="Normal"/>
    <w:link w:val="KommentarerChar"/>
    <w:semiHidden/>
    <w:unhideWhenUsed/>
    <w:rsid w:val="00B071EA"/>
    <w:rPr>
      <w:sz w:val="20"/>
      <w:szCs w:val="20"/>
    </w:rPr>
  </w:style>
  <w:style w:type="character" w:customStyle="1" w:styleId="KommentarerChar">
    <w:name w:val="Kommentarer Char"/>
    <w:basedOn w:val="Standardstycketeckensnitt"/>
    <w:link w:val="Kommentarer"/>
    <w:semiHidden/>
    <w:rsid w:val="00B071EA"/>
  </w:style>
  <w:style w:type="paragraph" w:styleId="Kommentarsmne">
    <w:name w:val="annotation subject"/>
    <w:basedOn w:val="Kommentarer"/>
    <w:next w:val="Kommentarer"/>
    <w:link w:val="KommentarsmneChar"/>
    <w:semiHidden/>
    <w:unhideWhenUsed/>
    <w:rsid w:val="00B071EA"/>
    <w:rPr>
      <w:b/>
      <w:bCs/>
    </w:rPr>
  </w:style>
  <w:style w:type="character" w:customStyle="1" w:styleId="KommentarsmneChar">
    <w:name w:val="Kommentarsämne Char"/>
    <w:basedOn w:val="KommentarerChar"/>
    <w:link w:val="Kommentarsmne"/>
    <w:semiHidden/>
    <w:rsid w:val="00B071EA"/>
    <w:rPr>
      <w:b/>
      <w:bCs/>
    </w:rPr>
  </w:style>
  <w:style w:type="paragraph" w:styleId="Fotnotstext">
    <w:name w:val="footnote text"/>
    <w:basedOn w:val="Normal"/>
    <w:link w:val="FotnotstextChar"/>
    <w:semiHidden/>
    <w:unhideWhenUsed/>
    <w:rsid w:val="00D568F5"/>
    <w:rPr>
      <w:sz w:val="20"/>
      <w:szCs w:val="20"/>
    </w:rPr>
  </w:style>
  <w:style w:type="character" w:customStyle="1" w:styleId="FotnotstextChar">
    <w:name w:val="Fotnotstext Char"/>
    <w:basedOn w:val="Standardstycketeckensnitt"/>
    <w:link w:val="Fotnotstext"/>
    <w:semiHidden/>
    <w:rsid w:val="00D568F5"/>
  </w:style>
  <w:style w:type="character" w:styleId="Fotnotsreferens">
    <w:name w:val="footnote reference"/>
    <w:basedOn w:val="Standardstycketeckensnitt"/>
    <w:semiHidden/>
    <w:unhideWhenUsed/>
    <w:rsid w:val="00D56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3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9D24-362B-A64D-BB6F-DDB5013F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1677</Words>
  <Characters>8890</Characters>
  <Application>Microsoft Macintosh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Remiss av ändringsreglerna, dnr: 4562/2016</vt:lpstr>
    </vt:vector>
  </TitlesOfParts>
  <Company>Boverket</Company>
  <LinksUpToDate>false</LinksUpToDate>
  <CharactersWithSpaces>10546</CharactersWithSpaces>
  <SharedDoc>false</SharedDoc>
  <HLinks>
    <vt:vector size="6" baseType="variant">
      <vt:variant>
        <vt:i4>2293855</vt:i4>
      </vt:variant>
      <vt:variant>
        <vt:i4>0</vt:i4>
      </vt:variant>
      <vt:variant>
        <vt:i4>0</vt:i4>
      </vt:variant>
      <vt:variant>
        <vt:i4>5</vt:i4>
      </vt:variant>
      <vt:variant>
        <vt:lpwstr>mailto:stina.jonfjard@boverket.se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Remiss av ändringsreglerna, dnr: 4562/2016</dc:title>
  <dc:subject/>
  <dc:creator>stina.jonfjard@boverket.se</dc:creator>
  <cp:keywords/>
  <dc:description/>
  <cp:lastModifiedBy>Microsoft Office-användare</cp:lastModifiedBy>
  <cp:revision>2</cp:revision>
  <cp:lastPrinted>2017-02-15T20:16:00Z</cp:lastPrinted>
  <dcterms:created xsi:type="dcterms:W3CDTF">2017-02-16T09:05:00Z</dcterms:created>
  <dcterms:modified xsi:type="dcterms:W3CDTF">2017-02-16T09:05:00Z</dcterms:modified>
</cp:coreProperties>
</file>